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85FEBC">
      <w:pPr>
        <w:pStyle w:val="2"/>
        <w:spacing w:before="0" w:after="0" w:line="240" w:lineRule="auto"/>
        <w:jc w:val="left"/>
        <w:rPr>
          <w:rFonts w:hint="default" w:eastAsia="SimSun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附件3：</w:t>
      </w:r>
    </w:p>
    <w:p w14:paraId="595BEB81">
      <w:pPr>
        <w:pStyle w:val="2"/>
        <w:jc w:val="center"/>
      </w:pPr>
      <w:r>
        <w:rPr>
          <w:sz w:val="32"/>
          <w:szCs w:val="32"/>
        </w:rPr>
        <w:t>全国大学英语四、六级考试</w:t>
      </w:r>
      <w:r>
        <w:rPr>
          <w:rFonts w:hint="eastAsia"/>
          <w:sz w:val="32"/>
          <w:szCs w:val="32"/>
        </w:rPr>
        <w:t>网报操作指南</w:t>
      </w:r>
    </w:p>
    <w:p w14:paraId="71B3E70C">
      <w:pPr>
        <w:rPr>
          <w:rFonts w:hint="eastAsia" w:ascii="Times New Roman" w:hAnsi="Times New Roman" w:eastAsia="汉仪中黑简"/>
          <w:sz w:val="28"/>
          <w:szCs w:val="28"/>
        </w:rPr>
      </w:pPr>
      <w:r>
        <w:rPr>
          <w:rFonts w:hint="eastAsia" w:ascii="Times New Roman" w:hAnsi="Times New Roman" w:eastAsia="汉仪中黑简"/>
          <w:sz w:val="28"/>
          <w:szCs w:val="28"/>
        </w:rPr>
        <w:t>一、网报网址：</w:t>
      </w:r>
      <w:r>
        <w:rPr>
          <w:rFonts w:ascii="Times New Roman" w:hAnsi="Times New Roman" w:eastAsia="汉仪中黑简"/>
          <w:sz w:val="28"/>
          <w:szCs w:val="28"/>
        </w:rPr>
        <w:t>http://cet-bm.neea.edu.cn</w:t>
      </w:r>
    </w:p>
    <w:p w14:paraId="4470990B">
      <w:pPr>
        <w:rPr>
          <w:rFonts w:hint="eastAsia" w:ascii="Times New Roman" w:hAnsi="Times New Roman" w:eastAsia="汉仪中黑简"/>
          <w:sz w:val="28"/>
          <w:szCs w:val="28"/>
        </w:rPr>
      </w:pPr>
      <w:r>
        <w:rPr>
          <w:rFonts w:hint="eastAsia" w:ascii="Times New Roman" w:hAnsi="Times New Roman" w:eastAsia="汉仪中黑简"/>
          <w:sz w:val="28"/>
          <w:szCs w:val="28"/>
        </w:rPr>
        <w:t>二：网报步骤</w:t>
      </w:r>
    </w:p>
    <w:p w14:paraId="263F022F">
      <w:r>
        <w:drawing>
          <wp:inline distT="0" distB="0" distL="114300" distR="114300">
            <wp:extent cx="5270500" cy="514350"/>
            <wp:effectExtent l="0" t="0" r="635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5FA1">
      <w:pPr>
        <w:rPr>
          <w:rFonts w:hint="eastAsia"/>
        </w:rPr>
      </w:pPr>
      <w:r>
        <w:rPr>
          <w:rFonts w:hint="eastAsia" w:ascii="Times New Roman" w:hAnsi="Times New Roman" w:eastAsia="汉仪中黑简"/>
          <w:sz w:val="28"/>
          <w:szCs w:val="28"/>
        </w:rPr>
        <w:t>三：网报程序</w:t>
      </w:r>
    </w:p>
    <w:p w14:paraId="31DE3FA6">
      <w:pPr>
        <w:rPr>
          <w:rFonts w:hint="eastAsia" w:eastAsia="仿宋_GB2312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bidi="ar"/>
        </w:rPr>
        <w:t>第一步：注册（没有账号者需要注册，已有账号者可直接登录）</w:t>
      </w:r>
    </w:p>
    <w:p w14:paraId="25BFEC19"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进入官网</w:t>
      </w:r>
      <w:r>
        <w:rPr>
          <w:rFonts w:ascii="Times New Roman" w:hAnsi="Times New Roman" w:eastAsia="汉仪中黑简"/>
          <w:sz w:val="28"/>
          <w:szCs w:val="28"/>
        </w:rPr>
        <w:t>http://cet-bm.neea.edu.cn</w:t>
      </w:r>
      <w:r>
        <w:rPr>
          <w:rFonts w:hint="eastAsia"/>
          <w:sz w:val="28"/>
          <w:szCs w:val="28"/>
        </w:rPr>
        <w:t>，点击“注册新用户”，进行注册。</w:t>
      </w:r>
    </w:p>
    <w:p w14:paraId="6C9C0AC3">
      <w:r>
        <w:drawing>
          <wp:inline distT="0" distB="0" distL="114300" distR="114300">
            <wp:extent cx="4297045" cy="3131820"/>
            <wp:effectExtent l="0" t="0" r="8255" b="1143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021D8">
      <w:pPr>
        <w:rPr>
          <w:rFonts w:hint="eastAsia"/>
        </w:rPr>
      </w:pPr>
    </w:p>
    <w:p w14:paraId="4ACA0644">
      <w:r>
        <w:drawing>
          <wp:inline distT="0" distB="0" distL="114300" distR="114300">
            <wp:extent cx="1539240" cy="1931035"/>
            <wp:effectExtent l="0" t="0" r="3810" b="1206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5771"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在“用户注册”页面完成注册。</w:t>
      </w:r>
    </w:p>
    <w:p w14:paraId="33C10443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u w:val="single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u w:val="single"/>
          <w:lang w:bidi="ar"/>
        </w:rPr>
        <w:t>注意：系统提示及要求。</w:t>
      </w:r>
    </w:p>
    <w:p w14:paraId="18004C1D">
      <w:pPr>
        <w:rPr>
          <w:rFonts w:hint="eastAsia"/>
        </w:rPr>
      </w:pPr>
      <w:r>
        <w:drawing>
          <wp:inline distT="0" distB="0" distL="114300" distR="114300">
            <wp:extent cx="3409315" cy="3949700"/>
            <wp:effectExtent l="0" t="0" r="635" b="1270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20F2">
      <w:pPr>
        <w:rPr>
          <w:rFonts w:hint="eastAsia"/>
        </w:rPr>
      </w:pPr>
      <w:r>
        <w:drawing>
          <wp:inline distT="0" distB="0" distL="114300" distR="114300">
            <wp:extent cx="5069840" cy="3581400"/>
            <wp:effectExtent l="0" t="0" r="1651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1D8A">
      <w:r>
        <w:drawing>
          <wp:inline distT="0" distB="0" distL="114300" distR="114300">
            <wp:extent cx="5272405" cy="3564890"/>
            <wp:effectExtent l="0" t="0" r="4445" b="1651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C73C0">
      <w:pPr>
        <w:spacing w:line="460" w:lineRule="exact"/>
        <w:ind w:firstLine="562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  <w:lang w:bidi="ar"/>
        </w:rPr>
      </w:pPr>
    </w:p>
    <w:p w14:paraId="5BCB6A95">
      <w:pPr>
        <w:numPr>
          <w:ilvl w:val="0"/>
          <w:numId w:val="2"/>
        </w:num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登录平台、修改个人资料及密码</w:t>
      </w:r>
    </w:p>
    <w:p w14:paraId="74C2A020">
      <w:pPr>
        <w:spacing w:line="46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注册完成后，用上述注册的账号登录平台（地址：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instrText xml:space="preserve"> HYPERLINK "http://passport.etest.net.cn" </w:instrTex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http://passport.etest.net.cn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），修改个人资料及密码。</w:t>
      </w:r>
    </w:p>
    <w:p w14:paraId="2F7507FF">
      <w:pPr>
        <w:spacing w:line="460" w:lineRule="exact"/>
        <w:rPr>
          <w:rFonts w:hint="eastAsia"/>
          <w:b/>
          <w:bCs/>
        </w:rPr>
      </w:pPr>
      <w:r>
        <w:rPr>
          <w:rFonts w:hint="eastAsia" w:ascii="Calibri Light" w:hAnsi="仿宋_GB2312" w:eastAsia="仿宋_GB2312" w:cs="仿宋_GB2312"/>
          <w:b/>
          <w:bCs/>
          <w:szCs w:val="21"/>
          <w:lang w:bidi="ar"/>
        </w:rPr>
        <w:t>（1）登录平台</w:t>
      </w:r>
    </w:p>
    <w:p w14:paraId="1F21423C">
      <w:r>
        <w:drawing>
          <wp:inline distT="0" distB="0" distL="114300" distR="114300">
            <wp:extent cx="5135880" cy="3679190"/>
            <wp:effectExtent l="0" t="0" r="7620" b="165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2FE85">
      <w:pPr>
        <w:rPr>
          <w:rFonts w:hint="eastAsia"/>
        </w:rPr>
      </w:pPr>
    </w:p>
    <w:p w14:paraId="05DD8EF4">
      <w:r>
        <w:drawing>
          <wp:inline distT="0" distB="0" distL="114300" distR="114300">
            <wp:extent cx="3679825" cy="3714115"/>
            <wp:effectExtent l="0" t="0" r="15875" b="63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D2D1A">
      <w:pPr>
        <w:rPr>
          <w:rFonts w:hint="eastAsia"/>
        </w:rPr>
      </w:pPr>
    </w:p>
    <w:p w14:paraId="3D33BE3B">
      <w:pPr>
        <w:rPr>
          <w:rFonts w:hint="eastAsia"/>
          <w:b/>
          <w:bCs/>
        </w:rPr>
      </w:pPr>
      <w:r>
        <w:rPr>
          <w:rFonts w:hint="eastAsia"/>
          <w:b/>
          <w:bCs/>
        </w:rPr>
        <w:t>（2）修改资料及密码</w:t>
      </w:r>
    </w:p>
    <w:p w14:paraId="76767FC8">
      <w:pPr>
        <w:rPr>
          <w:rFonts w:hint="eastAsia"/>
        </w:rPr>
      </w:pPr>
      <w:r>
        <w:drawing>
          <wp:inline distT="0" distB="0" distL="114300" distR="114300">
            <wp:extent cx="3303270" cy="2131695"/>
            <wp:effectExtent l="0" t="0" r="11430" b="190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3860" r="4410" b="3584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1CB14">
      <w:pPr>
        <w:rPr>
          <w:rFonts w:hint="eastAsia"/>
        </w:rPr>
      </w:pPr>
      <w:r>
        <w:drawing>
          <wp:inline distT="0" distB="0" distL="114300" distR="114300">
            <wp:extent cx="2831465" cy="2206625"/>
            <wp:effectExtent l="0" t="0" r="6985" b="317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t="9235" r="11517" b="13141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79ECA">
      <w:r>
        <w:drawing>
          <wp:inline distT="0" distB="0" distL="114300" distR="114300">
            <wp:extent cx="3201670" cy="1813560"/>
            <wp:effectExtent l="0" t="0" r="17780" b="1524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11493" r="16042" b="19850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CA0B">
      <w:pPr>
        <w:rPr>
          <w:rFonts w:hint="eastAsia"/>
        </w:rPr>
      </w:pPr>
    </w:p>
    <w:p w14:paraId="7B84832F">
      <w:pPr>
        <w:rPr>
          <w:rFonts w:hint="eastAsia" w:ascii="FangSong" w:hAnsi="FangSong" w:eastAsia="FangSong" w:cs="FangSong"/>
          <w:b/>
          <w:bCs/>
          <w:sz w:val="28"/>
          <w:szCs w:val="28"/>
        </w:rPr>
      </w:pPr>
      <w:r>
        <w:rPr>
          <w:rFonts w:hint="eastAsia" w:ascii="FangSong" w:hAnsi="FangSong" w:eastAsia="FangSong" w:cs="FangSong"/>
          <w:b/>
          <w:bCs/>
          <w:sz w:val="28"/>
          <w:szCs w:val="28"/>
        </w:rPr>
        <w:t>第二步：登录</w:t>
      </w:r>
    </w:p>
    <w:p w14:paraId="4626F8CF">
      <w:pPr>
        <w:ind w:firstLine="560" w:firstLineChars="200"/>
        <w:rPr>
          <w:rFonts w:hint="eastAsia" w:ascii="Calibri Light" w:hAnsi="FangSong" w:eastAsia="FangSong" w:cs="FangSong"/>
          <w:sz w:val="28"/>
          <w:szCs w:val="28"/>
        </w:rPr>
      </w:pPr>
      <w:r>
        <w:rPr>
          <w:rFonts w:hint="eastAsia" w:ascii="Calibri Light" w:hAnsi="FangSong" w:eastAsia="FangSong" w:cs="FangSong"/>
          <w:sz w:val="28"/>
          <w:szCs w:val="28"/>
        </w:rPr>
        <w:t>经上述注册用户、修改信息操作后，考生通过官网</w:t>
      </w:r>
      <w:r>
        <w:rPr>
          <w:rFonts w:ascii="Times New Roman" w:hAnsi="Times New Roman" w:eastAsia="汉仪中黑简"/>
          <w:sz w:val="28"/>
          <w:szCs w:val="28"/>
        </w:rPr>
        <w:t>http://cet-bm.neea.edu.cn</w:t>
      </w:r>
      <w:r>
        <w:rPr>
          <w:rFonts w:hint="eastAsia" w:ascii="Calibri Light" w:hAnsi="FangSong" w:eastAsia="FangSong" w:cs="FangSong"/>
          <w:sz w:val="28"/>
          <w:szCs w:val="28"/>
        </w:rPr>
        <w:t>登录系统。</w:t>
      </w:r>
    </w:p>
    <w:p w14:paraId="5BF24AB4">
      <w:pPr>
        <w:ind w:firstLine="420" w:firstLineChars="200"/>
      </w:pPr>
      <w:r>
        <w:drawing>
          <wp:inline distT="0" distB="0" distL="114300" distR="114300">
            <wp:extent cx="1866265" cy="2235200"/>
            <wp:effectExtent l="0" t="0" r="635" b="1270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B032F">
      <w:pPr>
        <w:ind w:firstLine="420" w:firstLineChars="200"/>
      </w:pPr>
      <w:r>
        <w:drawing>
          <wp:inline distT="0" distB="0" distL="114300" distR="114300">
            <wp:extent cx="4163060" cy="2256790"/>
            <wp:effectExtent l="0" t="0" r="8890" b="1016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F572A">
      <w:pPr>
        <w:ind w:firstLine="420" w:firstLineChars="200"/>
      </w:pPr>
    </w:p>
    <w:p w14:paraId="2BD7F666">
      <w:pPr>
        <w:ind w:firstLine="420" w:firstLineChars="200"/>
      </w:pPr>
    </w:p>
    <w:p w14:paraId="56CA197E">
      <w:pPr>
        <w:ind w:firstLine="420" w:firstLineChars="200"/>
      </w:pPr>
    </w:p>
    <w:p w14:paraId="08D90212">
      <w:pPr>
        <w:rPr>
          <w:rFonts w:hint="eastAsia" w:ascii="FangSong" w:hAnsi="FangSong" w:eastAsia="FangSong" w:cs="FangSong"/>
          <w:b/>
          <w:bCs/>
          <w:sz w:val="28"/>
          <w:szCs w:val="28"/>
        </w:rPr>
      </w:pPr>
      <w:r>
        <w:rPr>
          <w:rFonts w:hint="eastAsia" w:ascii="FangSong" w:hAnsi="FangSong" w:eastAsia="FangSong" w:cs="FangSong"/>
          <w:b/>
          <w:bCs/>
          <w:sz w:val="28"/>
          <w:szCs w:val="28"/>
        </w:rPr>
        <w:t>第三步：资格验证</w:t>
      </w:r>
    </w:p>
    <w:p w14:paraId="54E68092">
      <w:pPr>
        <w:ind w:firstLine="560" w:firstLineChars="200"/>
        <w:rPr>
          <w:rFonts w:hint="eastAsia" w:ascii="Calibri Light" w:hAnsi="FangSong" w:eastAsia="FangSong" w:cs="FangSong"/>
          <w:sz w:val="28"/>
          <w:szCs w:val="28"/>
        </w:rPr>
      </w:pPr>
      <w:r>
        <w:rPr>
          <w:rFonts w:hint="eastAsia" w:ascii="Calibri Light" w:hAnsi="FangSong" w:eastAsia="FangSong" w:cs="FangSong"/>
          <w:sz w:val="28"/>
          <w:szCs w:val="28"/>
        </w:rPr>
        <w:t>考生登录系统后，在页面填写《承诺书》、验证报名信息及资格。</w:t>
      </w:r>
    </w:p>
    <w:p w14:paraId="0642ED4D">
      <w:pPr>
        <w:numPr>
          <w:ilvl w:val="0"/>
          <w:numId w:val="3"/>
        </w:numPr>
        <w:rPr>
          <w:rFonts w:hint="eastAsia" w:ascii="Calibri Light" w:hAnsi="FangSong" w:eastAsia="FangSong" w:cs="FangSong"/>
          <w:sz w:val="28"/>
          <w:szCs w:val="28"/>
        </w:rPr>
      </w:pPr>
      <w:r>
        <w:rPr>
          <w:rFonts w:hint="eastAsia" w:ascii="Calibri Light" w:hAnsi="FangSong" w:eastAsia="FangSong" w:cs="FangSong"/>
          <w:sz w:val="28"/>
          <w:szCs w:val="28"/>
        </w:rPr>
        <w:t>阅读、填报《诚信承诺书》</w:t>
      </w:r>
    </w:p>
    <w:p w14:paraId="49EE947D">
      <w:r>
        <w:drawing>
          <wp:inline distT="0" distB="0" distL="114300" distR="114300">
            <wp:extent cx="4320540" cy="2872740"/>
            <wp:effectExtent l="0" t="0" r="3810" b="3810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D8F7">
      <w:r>
        <w:drawing>
          <wp:inline distT="0" distB="0" distL="114300" distR="114300">
            <wp:extent cx="4391660" cy="3733165"/>
            <wp:effectExtent l="0" t="0" r="8890" b="635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76B6B">
      <w:pPr>
        <w:rPr>
          <w:rFonts w:hint="eastAsia" w:ascii="Calibri Light" w:hAnsi="FangSong" w:eastAsia="FangSong" w:cs="FangSong"/>
          <w:sz w:val="28"/>
          <w:szCs w:val="28"/>
        </w:rPr>
      </w:pPr>
    </w:p>
    <w:p w14:paraId="0995890F">
      <w:pPr>
        <w:rPr>
          <w:rFonts w:hint="eastAsia" w:ascii="Calibri Light" w:hAnsi="FangSong" w:eastAsia="FangSong" w:cs="FangSong"/>
          <w:sz w:val="28"/>
          <w:szCs w:val="28"/>
        </w:rPr>
      </w:pPr>
    </w:p>
    <w:p w14:paraId="47A00C5A">
      <w:pPr>
        <w:numPr>
          <w:ilvl w:val="0"/>
          <w:numId w:val="3"/>
        </w:numPr>
        <w:rPr>
          <w:rFonts w:hint="eastAsia" w:ascii="Calibri Light" w:hAnsi="FangSong" w:eastAsia="FangSong" w:cs="FangSong"/>
          <w:sz w:val="28"/>
          <w:szCs w:val="28"/>
        </w:rPr>
      </w:pPr>
      <w:r>
        <w:rPr>
          <w:rFonts w:hint="eastAsia" w:ascii="Calibri Light" w:hAnsi="FangSong" w:eastAsia="FangSong" w:cs="FangSong"/>
          <w:sz w:val="28"/>
          <w:szCs w:val="28"/>
        </w:rPr>
        <w:t>验证报名信息及资格</w:t>
      </w:r>
    </w:p>
    <w:p w14:paraId="18E3D41E">
      <w:pPr>
        <w:rPr>
          <w:rFonts w:hint="eastAsia"/>
        </w:rPr>
      </w:pPr>
      <w:r>
        <w:drawing>
          <wp:inline distT="0" distB="0" distL="114300" distR="114300">
            <wp:extent cx="3853180" cy="2275205"/>
            <wp:effectExtent l="0" t="0" r="13970" b="10795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b="5174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62F8F">
      <w:pPr>
        <w:rPr>
          <w:rFonts w:hint="eastAsia"/>
        </w:rPr>
      </w:pPr>
      <w:r>
        <w:drawing>
          <wp:inline distT="0" distB="0" distL="114300" distR="114300">
            <wp:extent cx="5272405" cy="3086735"/>
            <wp:effectExtent l="0" t="0" r="4445" b="1841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1EFCA">
      <w:r>
        <w:drawing>
          <wp:inline distT="0" distB="0" distL="114300" distR="114300">
            <wp:extent cx="5268595" cy="3101975"/>
            <wp:effectExtent l="0" t="0" r="8255" b="317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B0E6A">
      <w:pPr>
        <w:rPr>
          <w:rFonts w:hint="eastAsia" w:ascii="FangSong" w:hAnsi="FangSong" w:eastAsia="FangSong" w:cs="FangSong"/>
          <w:b/>
          <w:bCs/>
          <w:sz w:val="28"/>
          <w:szCs w:val="28"/>
        </w:rPr>
      </w:pPr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</w:rPr>
        <w:t>注意：本次四六级报名缴费开始时间为：</w:t>
      </w:r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  <w:lang w:val="en-US" w:eastAsia="zh-CN"/>
        </w:rPr>
        <w:t>3</w:t>
      </w:r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</w:rPr>
        <w:t>月</w:t>
      </w:r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  <w:lang w:val="en-US" w:eastAsia="zh-CN"/>
        </w:rPr>
        <w:t>18</w:t>
      </w:r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</w:rPr>
        <w:t>日上午</w:t>
      </w:r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</w:rPr>
        <w:t>:</w:t>
      </w:r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  <w:lang w:val="en-US" w:eastAsia="zh-CN"/>
        </w:rPr>
        <w:t>0</w:t>
      </w:r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</w:rPr>
        <w:t>0，在此时间前考生只能进行报名信息确认，待报名缴费开始后才能报名缴费。</w:t>
      </w:r>
    </w:p>
    <w:p w14:paraId="6021D027">
      <w:pPr>
        <w:rPr>
          <w:rFonts w:hint="eastAsia" w:ascii="FangSong" w:hAnsi="FangSong" w:eastAsia="FangSong" w:cs="FangSong"/>
          <w:b/>
          <w:bCs/>
          <w:sz w:val="28"/>
          <w:szCs w:val="28"/>
        </w:rPr>
      </w:pPr>
      <w:r>
        <w:rPr>
          <w:rFonts w:hint="eastAsia" w:ascii="FangSong" w:hAnsi="FangSong" w:eastAsia="FangSong" w:cs="FangSong"/>
          <w:b/>
          <w:bCs/>
          <w:sz w:val="28"/>
          <w:szCs w:val="28"/>
        </w:rPr>
        <w:t>第四步：笔试报名缴费</w:t>
      </w:r>
    </w:p>
    <w:p w14:paraId="3215CAC2">
      <w:pPr>
        <w:numPr>
          <w:ilvl w:val="0"/>
          <w:numId w:val="4"/>
        </w:num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笔试报名</w:t>
      </w:r>
    </w:p>
    <w:p w14:paraId="5D6A4AC6">
      <w:pPr>
        <w:spacing w:line="46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考生在报名信息页面，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点击“笔试报考”按钮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，进入笔试报考页面。考生根据个人情况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选择要报考的科目（如英语四级或英语六级等）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，并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点击“提交”按钮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，确认笔试报名信息。</w:t>
      </w:r>
    </w:p>
    <w:p w14:paraId="75AAD8C7">
      <w:pPr>
        <w:jc w:val="center"/>
      </w:pPr>
      <w:r>
        <w:drawing>
          <wp:inline distT="0" distB="0" distL="114300" distR="114300">
            <wp:extent cx="4595495" cy="3980815"/>
            <wp:effectExtent l="0" t="0" r="14605" b="63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D9F2E">
      <w:pPr>
        <w:jc w:val="center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drawing>
          <wp:inline distT="0" distB="0" distL="114300" distR="114300">
            <wp:extent cx="4093210" cy="2227580"/>
            <wp:effectExtent l="0" t="0" r="2540" b="127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3D6C6">
      <w:pPr>
        <w:numPr>
          <w:ilvl w:val="0"/>
          <w:numId w:val="4"/>
        </w:num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笔试缴费</w:t>
      </w:r>
    </w:p>
    <w:p w14:paraId="3AB403B2">
      <w:p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（1）考生完成笔试报名后，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点击对应科目下方的“支付”按钮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，进入缴费页面。</w:t>
      </w:r>
    </w:p>
    <w:p w14:paraId="38326568">
      <w:p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136525</wp:posOffset>
            </wp:positionV>
            <wp:extent cx="5133340" cy="2701925"/>
            <wp:effectExtent l="0" t="0" r="10160" b="3175"/>
            <wp:wrapTopAndBottom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rcRect l="2603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（2）弹出确认支付信息界面，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点击“去支付”按钮，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进入支付页面。</w:t>
      </w:r>
    </w:p>
    <w:p w14:paraId="6A126B0B">
      <w:p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可以选择支付宝支付，也可以选择首信易支付。</w:t>
      </w:r>
    </w:p>
    <w:p w14:paraId="5C3B1D5E">
      <w:pPr>
        <w:spacing w:line="460" w:lineRule="exact"/>
        <w:ind w:firstLine="560" w:firstLineChars="200"/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缴费成功后对应科目的“支付状态”会变更为“已支付”。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注意：一旦完成缴费，报名信息无法更改。</w:t>
      </w:r>
    </w:p>
    <w:p w14:paraId="668060D1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sz w:val="30"/>
          <w:szCs w:val="30"/>
          <w:lang w:bidi="ar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1354455</wp:posOffset>
            </wp:positionH>
            <wp:positionV relativeFrom="page">
              <wp:posOffset>5226685</wp:posOffset>
            </wp:positionV>
            <wp:extent cx="4012565" cy="1924685"/>
            <wp:effectExtent l="0" t="0" r="6985" b="18415"/>
            <wp:wrapTopAndBottom/>
            <wp:docPr id="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1"/>
                    <pic:cNvPicPr>
                      <a:picLocks noChangeAspect="1"/>
                    </pic:cNvPicPr>
                  </pic:nvPicPr>
                  <pic:blipFill>
                    <a:blip r:embed="rId25"/>
                    <a:srcRect b="18390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1991360</wp:posOffset>
            </wp:positionV>
            <wp:extent cx="4912360" cy="1386840"/>
            <wp:effectExtent l="0" t="0" r="2540" b="3810"/>
            <wp:wrapTopAndBottom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支付完成后，考生可以自行打印准考证。</w:t>
      </w:r>
      <w:r>
        <w:rPr>
          <w:rFonts w:hint="eastAsia" w:ascii="仿宋_GB2312" w:hAnsi="SimSun" w:eastAsia="仿宋_GB2312"/>
          <w:b/>
          <w:color w:val="000000"/>
          <w:sz w:val="28"/>
          <w:szCs w:val="28"/>
          <w:u w:val="single"/>
        </w:rPr>
        <w:t>笔试准考证</w:t>
      </w:r>
      <w:r>
        <w:rPr>
          <w:rFonts w:hint="eastAsia" w:ascii="仿宋_GB2312" w:hAnsi="SimSun" w:eastAsia="仿宋_GB2312"/>
          <w:bCs/>
          <w:color w:val="000000"/>
          <w:sz w:val="28"/>
          <w:szCs w:val="28"/>
        </w:rPr>
        <w:t>打印开始时间：</w:t>
      </w:r>
      <w:r>
        <w:rPr>
          <w:rFonts w:hint="eastAsia" w:ascii="仿宋_GB2312" w:hAnsi="SimSun" w:eastAsia="仿宋_GB2312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仿宋_GB2312" w:hAnsi="SimSun" w:eastAsia="仿宋_GB2312"/>
          <w:b/>
          <w:color w:val="000000"/>
          <w:sz w:val="28"/>
          <w:szCs w:val="28"/>
          <w:u w:val="single"/>
        </w:rPr>
        <w:t>月</w:t>
      </w:r>
      <w:r>
        <w:rPr>
          <w:rFonts w:hint="eastAsia" w:ascii="仿宋_GB2312" w:hAnsi="SimSun" w:eastAsia="仿宋_GB2312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仿宋_GB2312" w:hAnsi="SimSun" w:eastAsia="仿宋_GB2312"/>
          <w:b/>
          <w:color w:val="000000"/>
          <w:sz w:val="28"/>
          <w:szCs w:val="28"/>
          <w:u w:val="single"/>
        </w:rPr>
        <w:t>日09:00</w:t>
      </w:r>
      <w:r>
        <w:rPr>
          <w:rFonts w:hint="eastAsia" w:ascii="仿宋_GB2312" w:hAnsi="SimSun" w:eastAsia="仿宋_GB2312"/>
          <w:bCs/>
          <w:color w:val="000000"/>
          <w:sz w:val="28"/>
          <w:szCs w:val="28"/>
        </w:rPr>
        <w:t>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中黑简">
    <w:altName w:val="SimHei"/>
    <w:panose1 w:val="02010609000101010101"/>
    <w:charset w:val="86"/>
    <w:family w:val="modern"/>
    <w:pitch w:val="default"/>
    <w:sig w:usb0="00000000" w:usb1="00000000" w:usb2="00000012" w:usb3="00000000" w:csb0="00040000" w:csb1="00000000"/>
  </w:font>
  <w:font w:name="仿宋_GB2312">
    <w:altName w:val="FangSong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FangSong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C8D4FD"/>
    <w:multiLevelType w:val="singleLevel"/>
    <w:tmpl w:val="9AC8D4F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EAEBE8C"/>
    <w:multiLevelType w:val="singleLevel"/>
    <w:tmpl w:val="DEAEBE8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19D4BAB"/>
    <w:multiLevelType w:val="singleLevel"/>
    <w:tmpl w:val="E19D4BAB"/>
    <w:lvl w:ilvl="0" w:tentative="0">
      <w:start w:val="3"/>
      <w:numFmt w:val="decimal"/>
      <w:suff w:val="space"/>
      <w:lvlText w:val="%1."/>
      <w:lvlJc w:val="left"/>
    </w:lvl>
  </w:abstractNum>
  <w:abstractNum w:abstractNumId="3">
    <w:nsid w:val="E470ADA9"/>
    <w:multiLevelType w:val="singleLevel"/>
    <w:tmpl w:val="E470ADA9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NhN2IzMWI5ODBjZjc2NjIxYjE1YjMxMTdmODZjOGYifQ=="/>
  </w:docVars>
  <w:rsids>
    <w:rsidRoot w:val="2FCF695A"/>
    <w:rsid w:val="05AC0CD2"/>
    <w:rsid w:val="068F60E8"/>
    <w:rsid w:val="0E4349B8"/>
    <w:rsid w:val="0E7F2C03"/>
    <w:rsid w:val="19220EA9"/>
    <w:rsid w:val="1CA14357"/>
    <w:rsid w:val="1D804CD4"/>
    <w:rsid w:val="1E9254BA"/>
    <w:rsid w:val="2FCB2838"/>
    <w:rsid w:val="2FCF695A"/>
    <w:rsid w:val="31746C65"/>
    <w:rsid w:val="6E597D3A"/>
    <w:rsid w:val="71AE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SimSun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617</Words>
  <Characters>730</Characters>
  <Lines>0</Lines>
  <Paragraphs>0</Paragraphs>
  <TotalTime>0</TotalTime>
  <ScaleCrop>false</ScaleCrop>
  <LinksUpToDate>false</LinksUpToDate>
  <CharactersWithSpaces>730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2020-07-02T03:10:00Z</dcterms:created>
  <dc:creator>คิดถึง悠风</dc:creator>
  <cp:lastModifiedBy>两宝妈</cp:lastModifiedBy>
  <cp:lastPrinted>2025-03-04T08:07:00Z</cp:lastPrinted>
  <dcterms:modified xsi:type="dcterms:W3CDTF">2025-09-08T01:35:56Z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9F6945FA53FC4EA4B536546E773D9008_12</vt:lpwstr>
  </property>
  <property fmtid="{D5CDD505-2E9C-101B-9397-08002B2CF9AE}" pid="4" name="KSOTemplateDocerSaveRecord">
    <vt:lpwstr>eyJoZGlkIjoiN2JmZmQ5OThkYWJhNzc1MjUyMzdiYjRiYjEyYTdkY2EiLCJ1c2VySWQiOiIyNTk2ODc0ODkifQ==</vt:lpwstr>
  </property>
</Properties>
</file>