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3464F1">
      <w:pPr>
        <w:rPr>
          <w:rFonts w:ascii="仿宋_GB2312"/>
        </w:rPr>
      </w:pPr>
      <w:r>
        <w:rPr>
          <w:rFonts w:hint="eastAsia" w:ascii="仿宋_GB2312"/>
        </w:rPr>
        <w:t>附件1</w:t>
      </w:r>
    </w:p>
    <w:p w14:paraId="5AD5F569">
      <w:pPr>
        <w:spacing w:before="312" w:beforeLines="100" w:after="312" w:afterLines="100"/>
        <w:jc w:val="center"/>
        <w:rPr>
          <w:rFonts w:ascii="黑体" w:hAnsi="黑体" w:eastAsia="黑体"/>
          <w:b/>
          <w:bCs/>
          <w:sz w:val="36"/>
          <w:szCs w:val="21"/>
        </w:rPr>
      </w:pPr>
      <w:r>
        <w:rPr>
          <w:rFonts w:hint="eastAsia" w:ascii="黑体" w:hAnsi="黑体" w:eastAsia="黑体"/>
          <w:b/>
          <w:bCs/>
          <w:sz w:val="36"/>
          <w:szCs w:val="21"/>
          <w:lang w:val="en-US" w:eastAsia="zh-CN"/>
        </w:rPr>
        <w:t>汉口学院</w:t>
      </w:r>
      <w:r>
        <w:rPr>
          <w:rFonts w:hint="eastAsia" w:ascii="黑体" w:hAnsi="黑体" w:eastAsia="黑体"/>
          <w:b/>
          <w:bCs/>
          <w:sz w:val="36"/>
          <w:szCs w:val="21"/>
        </w:rPr>
        <w:t>本科教学改革研究项目指南</w:t>
      </w:r>
    </w:p>
    <w:p w14:paraId="78E212BC">
      <w:pPr>
        <w:ind w:firstLine="560" w:firstLineChars="200"/>
        <w:rPr>
          <w:rFonts w:hint="eastAsia" w:ascii="仿宋_GB2312"/>
          <w:sz w:val="28"/>
          <w:szCs w:val="18"/>
        </w:rPr>
      </w:pPr>
      <w:r>
        <w:rPr>
          <w:rFonts w:hint="eastAsia" w:ascii="仿宋_GB2312"/>
          <w:sz w:val="28"/>
          <w:szCs w:val="18"/>
        </w:rPr>
        <w:t>指南研究内容涵盖学校教学改革与研究的大方向，不是具体的项目名称，申请人可在本指南的指导下，根据实际情况，确定具体的研究内容和申报项目。</w:t>
      </w:r>
    </w:p>
    <w:p w14:paraId="4B47102C">
      <w:pPr>
        <w:rPr>
          <w:rFonts w:hint="eastAsia" w:ascii="仿宋_GB2312" w:eastAsia="仿宋_GB2312"/>
          <w:sz w:val="28"/>
          <w:szCs w:val="18"/>
          <w:lang w:val="en-US" w:eastAsia="zh-CN"/>
        </w:rPr>
      </w:pPr>
      <w:r>
        <w:rPr>
          <w:rFonts w:hint="eastAsia" w:ascii="楷体" w:hAnsi="楷体" w:eastAsia="楷体" w:cs="Times New Roman"/>
          <w:b/>
          <w:bCs/>
          <w:sz w:val="32"/>
          <w:szCs w:val="32"/>
          <w:lang w:val="en-US" w:eastAsia="zh-CN"/>
        </w:rPr>
        <w:t>一、教学研究综合项目</w:t>
      </w:r>
    </w:p>
    <w:p w14:paraId="67D600FD">
      <w:pPr>
        <w:numPr>
          <w:ilvl w:val="0"/>
          <w:numId w:val="1"/>
        </w:numPr>
        <w:ind w:firstLine="602" w:firstLineChars="200"/>
        <w:rPr>
          <w:rFonts w:hint="eastAsia" w:ascii="楷体" w:hAnsi="楷体" w:eastAsia="楷体"/>
          <w:b/>
          <w:bCs/>
          <w:sz w:val="30"/>
          <w:szCs w:val="30"/>
          <w:lang w:val="en-US" w:eastAsia="zh-CN"/>
        </w:rPr>
      </w:pPr>
      <w:r>
        <w:rPr>
          <w:rFonts w:hint="eastAsia" w:ascii="楷体" w:hAnsi="楷体" w:eastAsia="楷体"/>
          <w:b/>
          <w:bCs/>
          <w:sz w:val="30"/>
          <w:szCs w:val="30"/>
          <w:lang w:val="en-US" w:eastAsia="zh-CN"/>
        </w:rPr>
        <w:t>专业培养体系改革与建设</w:t>
      </w:r>
    </w:p>
    <w:p w14:paraId="36729373">
      <w:pPr>
        <w:numPr>
          <w:ilvl w:val="0"/>
          <w:numId w:val="0"/>
        </w:numPr>
        <w:rPr>
          <w:rFonts w:hint="eastAsia" w:ascii="仿宋_GB2312" w:hAnsi="Times New Roman" w:cs="Times New Roman"/>
          <w:kern w:val="0"/>
          <w:sz w:val="28"/>
          <w:szCs w:val="28"/>
          <w:lang w:val="en-US" w:eastAsia="zh-CN"/>
        </w:rPr>
      </w:pPr>
      <w:r>
        <w:rPr>
          <w:rFonts w:hint="eastAsia" w:ascii="楷体" w:hAnsi="楷体" w:eastAsia="楷体"/>
          <w:b/>
          <w:bCs/>
          <w:sz w:val="30"/>
          <w:szCs w:val="30"/>
          <w:lang w:val="en-US" w:eastAsia="zh-CN"/>
        </w:rPr>
        <w:t xml:space="preserve">    </w:t>
      </w:r>
      <w:r>
        <w:rPr>
          <w:rFonts w:hint="eastAsia" w:ascii="仿宋_GB2312" w:hAnsi="Times New Roman" w:cs="Times New Roman"/>
          <w:kern w:val="0"/>
          <w:sz w:val="28"/>
          <w:szCs w:val="28"/>
          <w:lang w:val="en-US" w:eastAsia="zh-CN"/>
        </w:rPr>
        <w:t>研究如何根据不同专业的特点和需求，确定专业目标和培养要求，以确保培养出符合社会需求的高素质人才。研究如何设计科学合理的课程体系，强调理论与实践的结合，注重实践教学和能力培养，提升学生的实际操作和问题解决能力。研究如何与企业、行业等相关机构建立合作关系，增加学生实践机会和实习就业机会，从而促进学生的职业素养和实际能力发展。研究如何建立健全的评价机制，通过定期的测评、实习实训等方式对学生进行全面评价，检验学生是否达到学院设定的培养目标。研究如何招聘、培养和引进高水平的教师，提供专业发展机会和培训，以确保教师具备前沿的学科知识和教学能力，为学生提供优质的教育教学资源。</w:t>
      </w:r>
    </w:p>
    <w:p w14:paraId="5C4723D5">
      <w:pPr>
        <w:numPr>
          <w:ilvl w:val="0"/>
          <w:numId w:val="1"/>
        </w:numPr>
        <w:ind w:firstLine="602" w:firstLineChars="200"/>
        <w:rPr>
          <w:rFonts w:hint="default" w:ascii="楷体" w:hAnsi="楷体" w:eastAsia="楷体"/>
          <w:b/>
          <w:bCs/>
          <w:sz w:val="30"/>
          <w:szCs w:val="30"/>
          <w:lang w:val="en-US" w:eastAsia="zh-CN"/>
        </w:rPr>
      </w:pPr>
      <w:r>
        <w:rPr>
          <w:rFonts w:hint="eastAsia" w:ascii="楷体" w:hAnsi="楷体" w:eastAsia="楷体"/>
          <w:b/>
          <w:bCs/>
          <w:sz w:val="30"/>
          <w:szCs w:val="30"/>
          <w:lang w:val="en-US" w:eastAsia="zh-CN"/>
        </w:rPr>
        <w:t>实践教学体系改革与研究</w:t>
      </w:r>
    </w:p>
    <w:p w14:paraId="4DB14547">
      <w:pPr>
        <w:numPr>
          <w:ilvl w:val="0"/>
          <w:numId w:val="0"/>
        </w:numPr>
        <w:ind w:firstLine="602"/>
        <w:rPr>
          <w:rFonts w:hint="eastAsia" w:ascii="仿宋_GB2312" w:hAnsi="Times New Roman" w:cs="Times New Roman"/>
          <w:kern w:val="0"/>
          <w:sz w:val="28"/>
          <w:szCs w:val="28"/>
          <w:lang w:val="en-US" w:eastAsia="zh-CN"/>
        </w:rPr>
      </w:pPr>
      <w:r>
        <w:rPr>
          <w:rFonts w:hint="eastAsia" w:ascii="仿宋_GB2312" w:hAnsi="Times New Roman" w:cs="Times New Roman"/>
          <w:kern w:val="0"/>
          <w:sz w:val="28"/>
          <w:szCs w:val="28"/>
          <w:lang w:val="en-US" w:eastAsia="zh-CN"/>
        </w:rPr>
        <w:t>研究如何与企业建立紧密合作关系，寻找和开拓实习机会，确保学生有足够的实践机会。研究如何对实习机会进行统一管理和分配，使得每个学生都能有公平的实习机会。研究如何根据专业要求和企业需求，制定实习教学的具体内容。研究如何将课堂上所学的理论知识与实际操作相结合，帮助学生更好地应用所学知识解决实际问题。研究如何提供有效的实习指导，帮助学生在实习期间做好工作，并解决实践中遇到的问题。研究如何设计科学的实习评价体系，对学生的实习表现进行评价，以便更好地了解学生的实际能力和潜力。研究不同的校企合作模式，如产学研合作、合作办学等，探索哪种模式更适合实习教学的要求。研究如何加强与企业的沟通与合作，提高校企之间的互动和共赢。</w:t>
      </w:r>
    </w:p>
    <w:p w14:paraId="4EDDC639">
      <w:pPr>
        <w:ind w:firstLine="602" w:firstLineChars="200"/>
        <w:rPr>
          <w:rFonts w:ascii="楷体" w:hAnsi="楷体" w:eastAsia="楷体"/>
          <w:b/>
          <w:bCs/>
          <w:sz w:val="30"/>
          <w:szCs w:val="30"/>
        </w:rPr>
      </w:pPr>
      <w:r>
        <w:rPr>
          <w:rFonts w:hint="eastAsia" w:ascii="楷体" w:hAnsi="楷体" w:eastAsia="楷体"/>
          <w:b/>
          <w:bCs/>
          <w:sz w:val="30"/>
          <w:szCs w:val="30"/>
          <w:lang w:eastAsia="zh-CN"/>
        </w:rPr>
        <w:t>（</w:t>
      </w:r>
      <w:r>
        <w:rPr>
          <w:rFonts w:hint="eastAsia" w:ascii="楷体" w:hAnsi="楷体" w:eastAsia="楷体"/>
          <w:b/>
          <w:bCs/>
          <w:sz w:val="30"/>
          <w:szCs w:val="30"/>
          <w:lang w:val="en-US" w:eastAsia="zh-CN"/>
        </w:rPr>
        <w:t>三</w:t>
      </w:r>
      <w:r>
        <w:rPr>
          <w:rFonts w:hint="eastAsia" w:ascii="楷体" w:hAnsi="楷体" w:eastAsia="楷体"/>
          <w:b/>
          <w:bCs/>
          <w:sz w:val="30"/>
          <w:szCs w:val="30"/>
          <w:lang w:eastAsia="zh-CN"/>
        </w:rPr>
        <w:t>）</w:t>
      </w:r>
      <w:r>
        <w:rPr>
          <w:rFonts w:hint="eastAsia" w:ascii="楷体" w:hAnsi="楷体" w:eastAsia="楷体"/>
          <w:b/>
          <w:bCs/>
          <w:sz w:val="30"/>
          <w:szCs w:val="30"/>
        </w:rPr>
        <w:t>大学生创新创业教育</w:t>
      </w:r>
    </w:p>
    <w:p w14:paraId="15BDBDCA">
      <w:pPr>
        <w:adjustRightInd w:val="0"/>
        <w:snapToGrid w:val="0"/>
        <w:spacing w:line="560" w:lineRule="exact"/>
        <w:ind w:firstLine="526" w:firstLineChars="188"/>
        <w:rPr>
          <w:rFonts w:hint="eastAsia" w:ascii="仿宋_GB2312"/>
          <w:kern w:val="0"/>
          <w:sz w:val="28"/>
          <w:szCs w:val="28"/>
        </w:rPr>
      </w:pPr>
      <w:r>
        <w:rPr>
          <w:rFonts w:hint="eastAsia" w:ascii="仿宋_GB2312"/>
          <w:sz w:val="28"/>
          <w:szCs w:val="18"/>
        </w:rPr>
        <w:t>大学生创新创业课程体系与实践平台建设；提升教师创新创业教育教学能力建设；“互联网+”与高校教育改革的理论与实践；</w:t>
      </w:r>
      <w:r>
        <w:rPr>
          <w:rFonts w:hint="eastAsia" w:ascii="仿宋_GB2312"/>
          <w:kern w:val="0"/>
          <w:sz w:val="28"/>
          <w:szCs w:val="28"/>
        </w:rPr>
        <w:t>新工科人才</w:t>
      </w:r>
      <w:r>
        <w:rPr>
          <w:rFonts w:hint="eastAsia" w:ascii="仿宋_GB2312"/>
          <w:sz w:val="28"/>
          <w:szCs w:val="28"/>
        </w:rPr>
        <w:t>创新创业能力培养的经验与模式；</w:t>
      </w:r>
      <w:r>
        <w:rPr>
          <w:rFonts w:hint="eastAsia" w:ascii="仿宋_GB2312"/>
          <w:kern w:val="0"/>
          <w:sz w:val="28"/>
          <w:szCs w:val="28"/>
        </w:rPr>
        <w:t>跨院系、跨学科、跨专业交叉培养创新创业人才的新机制；创新创业教育与专业教育融合的多样化人才培养模式；适应于创新创业教育的多样化、现代化教学方法和考核评价方法改进；优质创新创业教育课程资源的信息化建设；大学生创新创业教育与就业、创业能力研究；创新创业教育课程体系建设、与实践体系、创新创业教育管理改革等；大学生科技创新竞赛活动组织管理模式研究；大学生创新活动基地建设和运行管理机制研究；第二课堂与大学生创新能力培养研究等。</w:t>
      </w:r>
    </w:p>
    <w:p w14:paraId="2F2A1196">
      <w:pPr>
        <w:adjustRightInd w:val="0"/>
        <w:snapToGrid w:val="0"/>
        <w:spacing w:line="560" w:lineRule="exact"/>
        <w:ind w:firstLine="526" w:firstLineChars="188"/>
        <w:rPr>
          <w:rFonts w:hint="eastAsia" w:ascii="仿宋_GB2312"/>
          <w:kern w:val="0"/>
          <w:sz w:val="28"/>
          <w:szCs w:val="28"/>
          <w:lang w:val="en-US" w:eastAsia="zh-CN"/>
        </w:rPr>
      </w:pPr>
    </w:p>
    <w:p w14:paraId="722F89FF">
      <w:pPr>
        <w:numPr>
          <w:numId w:val="0"/>
        </w:numPr>
        <w:ind w:firstLine="602" w:firstLineChars="200"/>
        <w:rPr>
          <w:rFonts w:hint="eastAsia" w:ascii="楷体" w:hAnsi="楷体" w:eastAsia="楷体"/>
          <w:b/>
          <w:bCs/>
          <w:sz w:val="30"/>
          <w:szCs w:val="30"/>
          <w:lang w:val="en-US" w:eastAsia="zh-CN"/>
        </w:rPr>
      </w:pPr>
      <w:r>
        <w:rPr>
          <w:rFonts w:hint="eastAsia" w:ascii="楷体" w:hAnsi="楷体" w:eastAsia="楷体"/>
          <w:b/>
          <w:bCs/>
          <w:sz w:val="30"/>
          <w:szCs w:val="30"/>
          <w:lang w:val="en-US" w:eastAsia="zh-CN"/>
        </w:rPr>
        <w:t>（四）人工智能AI赋能</w:t>
      </w:r>
    </w:p>
    <w:p w14:paraId="46140D8F">
      <w:pPr>
        <w:numPr>
          <w:ilvl w:val="0"/>
          <w:numId w:val="0"/>
        </w:numPr>
        <w:rPr>
          <w:rFonts w:hint="default" w:ascii="楷体" w:hAnsi="楷体" w:eastAsia="楷体"/>
          <w:b/>
          <w:bCs/>
          <w:sz w:val="32"/>
          <w:szCs w:val="32"/>
          <w:lang w:val="en-US" w:eastAsia="zh-CN"/>
        </w:rPr>
      </w:pPr>
      <w:r>
        <w:rPr>
          <w:rFonts w:hint="eastAsia" w:ascii="楷体" w:hAnsi="楷体" w:eastAsia="楷体"/>
          <w:b/>
          <w:bCs/>
          <w:sz w:val="30"/>
          <w:szCs w:val="30"/>
          <w:lang w:val="en-US" w:eastAsia="zh-CN"/>
        </w:rPr>
        <w:t xml:space="preserve">    </w:t>
      </w:r>
      <w:r>
        <w:rPr>
          <w:rFonts w:hint="eastAsia" w:ascii="仿宋_GB2312"/>
          <w:kern w:val="0"/>
          <w:sz w:val="28"/>
          <w:szCs w:val="28"/>
          <w:lang w:val="en-US" w:eastAsia="zh-CN"/>
        </w:rPr>
        <w:t>构建AI技术支持的新型教学体系；开发智能教育应用场景与工具平台；建立教育数据驱动的教学评价机制；形成可推广的智能教育解决方案；基于知识图谱的课程体系重构， 自适应学习路径规划算法研究；虚拟现实/增强现实融合教学，智能课堂行为分析与干预，跨时空协作学习支持系统研究；AI驱动的教师教学能力画像，智能教研辅助平台开发，教学反思智能分析工具研究。</w:t>
      </w:r>
    </w:p>
    <w:p w14:paraId="43E43F1E">
      <w:pPr>
        <w:ind w:firstLine="602" w:firstLineChars="200"/>
        <w:rPr>
          <w:rFonts w:ascii="楷体" w:hAnsi="楷体" w:eastAsia="楷体"/>
          <w:b/>
          <w:bCs/>
          <w:sz w:val="30"/>
          <w:szCs w:val="30"/>
        </w:rPr>
      </w:pPr>
      <w:r>
        <w:rPr>
          <w:rFonts w:hint="eastAsia" w:ascii="楷体" w:hAnsi="楷体" w:eastAsia="楷体"/>
          <w:b/>
          <w:bCs/>
          <w:sz w:val="30"/>
          <w:szCs w:val="30"/>
          <w:lang w:eastAsia="zh-CN"/>
        </w:rPr>
        <w:t>（</w:t>
      </w:r>
      <w:r>
        <w:rPr>
          <w:rFonts w:hint="eastAsia" w:ascii="楷体" w:hAnsi="楷体" w:eastAsia="楷体"/>
          <w:b/>
          <w:bCs/>
          <w:sz w:val="30"/>
          <w:szCs w:val="30"/>
          <w:lang w:val="en-US" w:eastAsia="zh-CN"/>
        </w:rPr>
        <w:t>五</w:t>
      </w:r>
      <w:r>
        <w:rPr>
          <w:rFonts w:hint="eastAsia" w:ascii="楷体" w:hAnsi="楷体" w:eastAsia="楷体"/>
          <w:b/>
          <w:bCs/>
          <w:sz w:val="30"/>
          <w:szCs w:val="30"/>
          <w:lang w:eastAsia="zh-CN"/>
        </w:rPr>
        <w:t>）</w:t>
      </w:r>
      <w:bookmarkStart w:id="0" w:name="_Toc353227351"/>
      <w:r>
        <w:rPr>
          <w:rFonts w:hint="eastAsia" w:ascii="楷体" w:hAnsi="楷体" w:eastAsia="楷体"/>
          <w:b/>
          <w:bCs/>
          <w:sz w:val="30"/>
          <w:szCs w:val="30"/>
        </w:rPr>
        <w:t>新工科、新文科的理论与实践研究</w:t>
      </w:r>
    </w:p>
    <w:p w14:paraId="1C892F36">
      <w:pPr>
        <w:adjustRightInd w:val="0"/>
        <w:snapToGrid w:val="0"/>
        <w:spacing w:line="560" w:lineRule="exact"/>
        <w:ind w:firstLine="526" w:firstLineChars="188"/>
        <w:rPr>
          <w:rFonts w:ascii="仿宋_GB2312"/>
          <w:kern w:val="0"/>
          <w:sz w:val="28"/>
          <w:szCs w:val="28"/>
        </w:rPr>
      </w:pPr>
      <w:r>
        <w:rPr>
          <w:rFonts w:hint="eastAsia" w:ascii="仿宋_GB2312"/>
          <w:kern w:val="0"/>
          <w:sz w:val="28"/>
          <w:szCs w:val="28"/>
        </w:rPr>
        <w:t>新工科、新文科建设背景下人才培养的新模式、教育教学的新质量、新体系等；新经济背景下面向未来产业发展需求，推动现有工、文科的交叉复合、与其他学科的交叉融合的探索与实践研究；面向新经济和区域经济发展需要、面向未来的新兴工科、文科专业研究与探索及传统专业更新、升级研究；多学科交叉复合的新工科、新文科专业建设；多学科交叉融合的人才培养模式探索与实践；新工科、新文科和师范类专业认证研究与实践等。</w:t>
      </w:r>
    </w:p>
    <w:bookmarkEnd w:id="0"/>
    <w:p w14:paraId="4FE8E131">
      <w:pPr>
        <w:ind w:firstLine="602" w:firstLineChars="200"/>
        <w:rPr>
          <w:rFonts w:ascii="楷体" w:hAnsi="楷体" w:eastAsia="楷体"/>
          <w:b/>
          <w:bCs/>
          <w:sz w:val="30"/>
          <w:szCs w:val="30"/>
        </w:rPr>
      </w:pPr>
      <w:r>
        <w:rPr>
          <w:rFonts w:hint="eastAsia" w:ascii="楷体" w:hAnsi="楷体" w:eastAsia="楷体"/>
          <w:b/>
          <w:bCs/>
          <w:sz w:val="30"/>
          <w:szCs w:val="30"/>
          <w:lang w:eastAsia="zh-CN"/>
        </w:rPr>
        <w:t>（</w:t>
      </w:r>
      <w:r>
        <w:rPr>
          <w:rFonts w:hint="eastAsia" w:ascii="楷体" w:hAnsi="楷体" w:eastAsia="楷体"/>
          <w:b/>
          <w:bCs/>
          <w:sz w:val="30"/>
          <w:szCs w:val="30"/>
          <w:lang w:val="en-US" w:eastAsia="zh-CN"/>
        </w:rPr>
        <w:t>六</w:t>
      </w:r>
      <w:r>
        <w:rPr>
          <w:rFonts w:hint="eastAsia" w:ascii="楷体" w:hAnsi="楷体" w:eastAsia="楷体"/>
          <w:b/>
          <w:bCs/>
          <w:sz w:val="30"/>
          <w:szCs w:val="30"/>
          <w:lang w:eastAsia="zh-CN"/>
        </w:rPr>
        <w:t>）</w:t>
      </w:r>
      <w:r>
        <w:rPr>
          <w:rFonts w:hint="eastAsia" w:ascii="楷体" w:hAnsi="楷体" w:eastAsia="楷体"/>
          <w:b/>
          <w:bCs/>
          <w:sz w:val="30"/>
          <w:szCs w:val="30"/>
        </w:rPr>
        <w:t>人才培养模式改革与创新</w:t>
      </w:r>
    </w:p>
    <w:p w14:paraId="3F9853FF">
      <w:pPr>
        <w:adjustRightInd w:val="0"/>
        <w:snapToGrid w:val="0"/>
        <w:spacing w:line="560" w:lineRule="exact"/>
        <w:ind w:firstLine="526" w:firstLineChars="188"/>
        <w:rPr>
          <w:rFonts w:ascii="仿宋_GB2312"/>
          <w:kern w:val="0"/>
          <w:sz w:val="28"/>
          <w:szCs w:val="28"/>
        </w:rPr>
      </w:pPr>
      <w:r>
        <w:rPr>
          <w:rFonts w:hint="eastAsia" w:ascii="仿宋_GB2312"/>
          <w:sz w:val="28"/>
          <w:szCs w:val="18"/>
        </w:rPr>
        <w:t>面向“六卓越一拔尖”2.0的人才培养模式改革研究；</w:t>
      </w:r>
      <w:r>
        <w:rPr>
          <w:rFonts w:hint="eastAsia" w:ascii="仿宋_GB2312"/>
          <w:kern w:val="0"/>
          <w:sz w:val="28"/>
          <w:szCs w:val="28"/>
        </w:rPr>
        <w:t>产教融合、校企合作机制模式探索与实践；国际化人才培养模式、机制和路径；</w:t>
      </w:r>
      <w:r>
        <w:rPr>
          <w:rFonts w:hint="eastAsia" w:ascii="仿宋_GB2312" w:hAnsi="仿宋"/>
          <w:sz w:val="28"/>
          <w:szCs w:val="28"/>
        </w:rPr>
        <w:t>关于应用型、技能型人才培养体系研究；</w:t>
      </w:r>
      <w:r>
        <w:rPr>
          <w:rFonts w:hint="eastAsia" w:ascii="仿宋_GB2312"/>
          <w:sz w:val="28"/>
          <w:szCs w:val="18"/>
        </w:rPr>
        <w:t>紧密对接产业链、创新链的专业体系构建；</w:t>
      </w:r>
      <w:r>
        <w:rPr>
          <w:rFonts w:hint="eastAsia" w:ascii="仿宋_GB2312" w:hAnsi="仿宋"/>
          <w:sz w:val="28"/>
          <w:szCs w:val="28"/>
        </w:rPr>
        <w:t>通识教育教学内容与体系建设研究、素质教育研究；基于学生自主学习能力培养和个性化人才培养模式研究与实践；</w:t>
      </w:r>
      <w:r>
        <w:rPr>
          <w:rFonts w:hint="eastAsia" w:ascii="仿宋_GB2312"/>
          <w:sz w:val="28"/>
          <w:szCs w:val="18"/>
        </w:rPr>
        <w:t>增强学生文明素养、社会责任意识、实践本领培养模式改革</w:t>
      </w:r>
      <w:r>
        <w:rPr>
          <w:rFonts w:hint="eastAsia" w:ascii="仿宋_GB2312"/>
          <w:kern w:val="0"/>
          <w:sz w:val="28"/>
          <w:szCs w:val="28"/>
        </w:rPr>
        <w:t>等。</w:t>
      </w:r>
    </w:p>
    <w:p w14:paraId="70A82FED">
      <w:pPr>
        <w:ind w:firstLine="602" w:firstLineChars="200"/>
        <w:rPr>
          <w:rFonts w:ascii="楷体" w:hAnsi="楷体" w:eastAsia="楷体"/>
          <w:b/>
          <w:bCs/>
          <w:sz w:val="30"/>
          <w:szCs w:val="30"/>
        </w:rPr>
      </w:pPr>
      <w:r>
        <w:rPr>
          <w:rFonts w:hint="eastAsia" w:ascii="楷体" w:hAnsi="楷体" w:eastAsia="楷体"/>
          <w:b/>
          <w:bCs/>
          <w:sz w:val="30"/>
          <w:szCs w:val="30"/>
          <w:lang w:eastAsia="zh-CN"/>
        </w:rPr>
        <w:t>（</w:t>
      </w:r>
      <w:r>
        <w:rPr>
          <w:rFonts w:hint="eastAsia" w:ascii="楷体" w:hAnsi="楷体" w:eastAsia="楷体"/>
          <w:b/>
          <w:bCs/>
          <w:sz w:val="30"/>
          <w:szCs w:val="30"/>
          <w:lang w:val="en-US" w:eastAsia="zh-CN"/>
        </w:rPr>
        <w:t>七</w:t>
      </w:r>
      <w:r>
        <w:rPr>
          <w:rFonts w:hint="eastAsia" w:ascii="楷体" w:hAnsi="楷体" w:eastAsia="楷体"/>
          <w:b/>
          <w:bCs/>
          <w:sz w:val="30"/>
          <w:szCs w:val="30"/>
          <w:lang w:eastAsia="zh-CN"/>
        </w:rPr>
        <w:t>）</w:t>
      </w:r>
      <w:r>
        <w:rPr>
          <w:rFonts w:hint="eastAsia" w:ascii="楷体" w:hAnsi="楷体" w:eastAsia="楷体"/>
          <w:b/>
          <w:bCs/>
          <w:sz w:val="30"/>
          <w:szCs w:val="30"/>
        </w:rPr>
        <w:t>课程改革与建设</w:t>
      </w:r>
    </w:p>
    <w:p w14:paraId="69DCBFB2">
      <w:pPr>
        <w:spacing w:line="560" w:lineRule="exact"/>
        <w:ind w:firstLine="560" w:firstLineChars="200"/>
        <w:rPr>
          <w:rFonts w:ascii="仿宋_GB2312"/>
          <w:sz w:val="28"/>
          <w:szCs w:val="28"/>
        </w:rPr>
      </w:pPr>
      <w:r>
        <w:rPr>
          <w:rFonts w:hint="eastAsia" w:ascii="仿宋_GB2312"/>
          <w:sz w:val="28"/>
          <w:szCs w:val="18"/>
        </w:rPr>
        <w:t>在线课程和混合式课程的教学模式构建与实践；课程考试考核方法改革；课程教学团队、名师培养建设与管理研究；课程体系整体优化与教学内容改革；课程的准入、建设、评价与淘汰机制；课堂教学质量现状分析与提升策略；翻转课堂教学方法效果研究；适应新工科和新文科人才培养要求的模块化课程体系构建；</w:t>
      </w:r>
      <w:bookmarkStart w:id="1" w:name="_Toc353227353"/>
      <w:r>
        <w:rPr>
          <w:rFonts w:hint="eastAsia" w:ascii="仿宋_GB2312"/>
          <w:kern w:val="0"/>
          <w:sz w:val="28"/>
          <w:szCs w:val="28"/>
        </w:rPr>
        <w:t>新形态复合型教育教学资源体系构建；新工科、新文科教育教学资源、专业资源库建设</w:t>
      </w:r>
      <w:bookmarkEnd w:id="1"/>
      <w:r>
        <w:rPr>
          <w:rFonts w:hint="eastAsia" w:ascii="仿宋_GB2312"/>
          <w:kern w:val="0"/>
          <w:sz w:val="28"/>
          <w:szCs w:val="28"/>
        </w:rPr>
        <w:t>；</w:t>
      </w:r>
      <w:r>
        <w:rPr>
          <w:rFonts w:hint="eastAsia" w:ascii="仿宋_GB2312"/>
          <w:sz w:val="28"/>
          <w:szCs w:val="18"/>
        </w:rPr>
        <w:t>现代信息网络技术在教学中的运用；</w:t>
      </w:r>
      <w:r>
        <w:rPr>
          <w:rFonts w:hint="eastAsia" w:ascii="仿宋_GB2312"/>
          <w:sz w:val="28"/>
          <w:szCs w:val="28"/>
        </w:rPr>
        <w:t>课程体系、教材体系和教学模式研究等。</w:t>
      </w:r>
    </w:p>
    <w:p w14:paraId="080242E5">
      <w:pPr>
        <w:ind w:firstLine="602" w:firstLineChars="200"/>
        <w:rPr>
          <w:rFonts w:ascii="楷体" w:hAnsi="楷体" w:eastAsia="楷体"/>
          <w:b/>
          <w:bCs/>
          <w:sz w:val="30"/>
          <w:szCs w:val="30"/>
        </w:rPr>
      </w:pPr>
      <w:r>
        <w:rPr>
          <w:rFonts w:hint="eastAsia" w:ascii="楷体" w:hAnsi="楷体" w:eastAsia="楷体"/>
          <w:b/>
          <w:bCs/>
          <w:sz w:val="30"/>
          <w:szCs w:val="30"/>
          <w:lang w:eastAsia="zh-CN"/>
        </w:rPr>
        <w:t>（</w:t>
      </w:r>
      <w:r>
        <w:rPr>
          <w:rFonts w:hint="eastAsia" w:ascii="楷体" w:hAnsi="楷体" w:eastAsia="楷体"/>
          <w:b/>
          <w:bCs/>
          <w:sz w:val="30"/>
          <w:szCs w:val="30"/>
          <w:lang w:val="en-US" w:eastAsia="zh-CN"/>
        </w:rPr>
        <w:t>八</w:t>
      </w:r>
      <w:r>
        <w:rPr>
          <w:rFonts w:hint="eastAsia" w:ascii="楷体" w:hAnsi="楷体" w:eastAsia="楷体"/>
          <w:b/>
          <w:bCs/>
          <w:sz w:val="30"/>
          <w:szCs w:val="30"/>
          <w:lang w:eastAsia="zh-CN"/>
        </w:rPr>
        <w:t>）</w:t>
      </w:r>
      <w:r>
        <w:rPr>
          <w:rFonts w:hint="eastAsia" w:ascii="楷体" w:hAnsi="楷体" w:eastAsia="楷体"/>
          <w:b/>
          <w:bCs/>
          <w:sz w:val="30"/>
          <w:szCs w:val="30"/>
        </w:rPr>
        <w:t>实践教学</w:t>
      </w:r>
    </w:p>
    <w:p w14:paraId="24A2688A">
      <w:pPr>
        <w:ind w:firstLine="560" w:firstLineChars="200"/>
        <w:rPr>
          <w:rFonts w:ascii="仿宋_GB2312"/>
          <w:sz w:val="28"/>
          <w:szCs w:val="18"/>
        </w:rPr>
      </w:pPr>
      <w:r>
        <w:rPr>
          <w:rFonts w:hint="eastAsia" w:ascii="仿宋_GB2312"/>
          <w:kern w:val="0"/>
          <w:sz w:val="28"/>
          <w:szCs w:val="28"/>
        </w:rPr>
        <w:t>优化实践过程管理，实践教学体系和运行模式研究与实践；</w:t>
      </w:r>
      <w:r>
        <w:rPr>
          <w:rFonts w:hint="eastAsia" w:ascii="仿宋_GB2312"/>
          <w:sz w:val="28"/>
          <w:szCs w:val="18"/>
        </w:rPr>
        <w:t>实验教学系统化管理模式创新；实践教学模式及运行机制创新；实践教学基地建设模式；</w:t>
      </w:r>
      <w:r>
        <w:rPr>
          <w:rFonts w:hint="eastAsia" w:ascii="仿宋_GB2312"/>
          <w:kern w:val="0"/>
          <w:sz w:val="28"/>
          <w:szCs w:val="28"/>
        </w:rPr>
        <w:t>实践课教师队伍建设；</w:t>
      </w:r>
      <w:r>
        <w:rPr>
          <w:rFonts w:hint="eastAsia" w:ascii="仿宋_GB2312"/>
          <w:sz w:val="28"/>
          <w:szCs w:val="18"/>
        </w:rPr>
        <w:t>实验教学管理与运行机制；大学生实践能力培养、毕业实习、毕业设计(论文)等各实践教学环节的建设与管理；</w:t>
      </w:r>
      <w:r>
        <w:rPr>
          <w:rFonts w:hint="eastAsia" w:ascii="仿宋_GB2312"/>
          <w:kern w:val="0"/>
          <w:sz w:val="28"/>
          <w:szCs w:val="28"/>
        </w:rPr>
        <w:t>新工科、新文科人才培养实践创新平台建设；结果导向的实习实训保障制度体系建设等。</w:t>
      </w:r>
    </w:p>
    <w:p w14:paraId="20A4F2A1">
      <w:pPr>
        <w:ind w:firstLine="602" w:firstLineChars="200"/>
        <w:rPr>
          <w:rFonts w:ascii="楷体" w:hAnsi="楷体" w:eastAsia="楷体"/>
          <w:b/>
          <w:bCs/>
          <w:sz w:val="30"/>
          <w:szCs w:val="30"/>
        </w:rPr>
      </w:pPr>
      <w:r>
        <w:rPr>
          <w:rFonts w:hint="eastAsia" w:ascii="楷体" w:hAnsi="楷体" w:eastAsia="楷体"/>
          <w:b/>
          <w:bCs/>
          <w:sz w:val="30"/>
          <w:szCs w:val="30"/>
          <w:lang w:eastAsia="zh-CN"/>
        </w:rPr>
        <w:t>（</w:t>
      </w:r>
      <w:r>
        <w:rPr>
          <w:rFonts w:hint="eastAsia" w:ascii="楷体" w:hAnsi="楷体" w:eastAsia="楷体"/>
          <w:b/>
          <w:bCs/>
          <w:sz w:val="30"/>
          <w:szCs w:val="30"/>
          <w:lang w:val="en-US" w:eastAsia="zh-CN"/>
        </w:rPr>
        <w:t>九</w:t>
      </w:r>
      <w:r>
        <w:rPr>
          <w:rFonts w:hint="eastAsia" w:ascii="楷体" w:hAnsi="楷体" w:eastAsia="楷体"/>
          <w:b/>
          <w:bCs/>
          <w:sz w:val="30"/>
          <w:szCs w:val="30"/>
          <w:lang w:eastAsia="zh-CN"/>
        </w:rPr>
        <w:t>）</w:t>
      </w:r>
      <w:r>
        <w:rPr>
          <w:rFonts w:hint="eastAsia" w:ascii="楷体" w:hAnsi="楷体" w:eastAsia="楷体"/>
          <w:b/>
          <w:bCs/>
          <w:sz w:val="30"/>
          <w:szCs w:val="30"/>
        </w:rPr>
        <w:t>教学管理与质量保障</w:t>
      </w:r>
    </w:p>
    <w:p w14:paraId="326C7C43">
      <w:pPr>
        <w:ind w:firstLine="560" w:firstLineChars="200"/>
        <w:rPr>
          <w:rFonts w:hint="eastAsia" w:ascii="仿宋_GB2312"/>
          <w:kern w:val="0"/>
          <w:sz w:val="28"/>
          <w:szCs w:val="28"/>
        </w:rPr>
      </w:pPr>
      <w:r>
        <w:rPr>
          <w:rFonts w:hint="eastAsia" w:ascii="仿宋_GB2312"/>
          <w:sz w:val="28"/>
          <w:szCs w:val="18"/>
        </w:rPr>
        <w:t>教学管理数字化、信息化建设；优质教学资源的建设与共享机制；教学团队建设与优秀教学团队形成机制；教师教学能力、实践能力提升方式与途径；教师教学能力评价办法；教师教学考核评价与激励机制的研究与实践；教学质量管理及保障、监控机制和体系；</w:t>
      </w:r>
      <w:r>
        <w:rPr>
          <w:rFonts w:hint="eastAsia" w:ascii="仿宋_GB2312"/>
          <w:kern w:val="0"/>
          <w:sz w:val="28"/>
          <w:szCs w:val="28"/>
        </w:rPr>
        <w:t>本科专业类教学质量国家标准实施研究与实践；</w:t>
      </w:r>
      <w:r>
        <w:rPr>
          <w:rFonts w:hint="eastAsia" w:ascii="仿宋_GB2312"/>
          <w:sz w:val="28"/>
          <w:szCs w:val="18"/>
        </w:rPr>
        <w:t>专业人才培养评价标准体系构建研究与实践；教学状态和教学质量监测常态化、信息化研究与实践；专业类的教学质量标准、专业认证、课程评估研究；</w:t>
      </w:r>
      <w:r>
        <w:rPr>
          <w:rFonts w:hint="eastAsia" w:ascii="仿宋_GB2312"/>
          <w:kern w:val="0"/>
          <w:sz w:val="28"/>
          <w:szCs w:val="28"/>
        </w:rPr>
        <w:t>严格课堂教学管理与课堂改革方面的研究与实践；学生学习全过程监测与数据收集；学生学习信念、学习目标、学习策略、学习收获监测与数据收集；学生就业力状态及变化监测。</w:t>
      </w:r>
    </w:p>
    <w:p w14:paraId="6546FB11">
      <w:pPr>
        <w:rPr>
          <w:rFonts w:hint="eastAsia" w:ascii="楷体" w:hAnsi="楷体" w:eastAsia="楷体" w:cs="Times New Roman"/>
          <w:b/>
          <w:bCs/>
          <w:sz w:val="32"/>
          <w:szCs w:val="32"/>
          <w:lang w:val="en-US" w:eastAsia="zh-CN"/>
        </w:rPr>
      </w:pPr>
      <w:r>
        <w:rPr>
          <w:rFonts w:hint="eastAsia" w:ascii="楷体" w:hAnsi="楷体" w:eastAsia="楷体" w:cs="Times New Roman"/>
          <w:b/>
          <w:bCs/>
          <w:sz w:val="32"/>
          <w:szCs w:val="32"/>
          <w:lang w:val="en-US" w:eastAsia="zh-CN"/>
        </w:rPr>
        <w:t>二、课程思政教学改革专项</w:t>
      </w:r>
    </w:p>
    <w:p w14:paraId="4405E89D">
      <w:pPr>
        <w:ind w:firstLine="560" w:firstLineChars="200"/>
        <w:rPr>
          <w:rFonts w:ascii="仿宋_GB2312"/>
          <w:b/>
          <w:bCs/>
          <w:sz w:val="30"/>
          <w:szCs w:val="30"/>
        </w:rPr>
      </w:pPr>
      <w:r>
        <w:rPr>
          <w:rFonts w:hint="eastAsia" w:ascii="仿宋_GB2312" w:hAnsi="仿宋"/>
          <w:sz w:val="28"/>
          <w:szCs w:val="28"/>
        </w:rPr>
        <w:t>关于课程思政教学体系的建设与研究；结合学科专业特点分类推进思政元素融入课程教学的改革和创新研究；课程思政融入课堂教学全过程的方法途径探索与实践；推进教师思政能力建设的机制研究；课程思政建设质量评价体系和激励机制的探索与研究等。</w:t>
      </w:r>
    </w:p>
    <w:p w14:paraId="0A3DFBB9">
      <w:pPr>
        <w:rPr>
          <w:rFonts w:hint="eastAsia" w:ascii="楷体" w:hAnsi="楷体" w:eastAsia="楷体" w:cs="Times New Roman"/>
          <w:b/>
          <w:bCs/>
          <w:sz w:val="32"/>
          <w:szCs w:val="32"/>
          <w:lang w:val="en-US" w:eastAsia="zh-CN"/>
        </w:rPr>
      </w:pPr>
      <w:r>
        <w:rPr>
          <w:rFonts w:hint="eastAsia" w:ascii="楷体" w:hAnsi="楷体" w:eastAsia="楷体" w:cs="Times New Roman"/>
          <w:b/>
          <w:bCs/>
          <w:sz w:val="32"/>
          <w:szCs w:val="32"/>
          <w:lang w:val="en-US" w:eastAsia="zh-CN"/>
        </w:rPr>
        <w:t>三、大学外语专项</w:t>
      </w:r>
    </w:p>
    <w:p w14:paraId="45122908">
      <w:pPr>
        <w:ind w:firstLine="560" w:firstLineChars="200"/>
        <w:rPr>
          <w:rFonts w:hint="eastAsia" w:ascii="仿宋_GB2312" w:hAnsi="仿宋"/>
          <w:sz w:val="28"/>
          <w:szCs w:val="28"/>
          <w:lang w:val="en-US" w:eastAsia="zh-CN"/>
        </w:rPr>
      </w:pPr>
      <w:bookmarkStart w:id="2" w:name="OLE_LINK1"/>
      <w:r>
        <w:rPr>
          <w:rFonts w:hint="eastAsia" w:ascii="仿宋_GB2312" w:hAnsi="仿宋"/>
          <w:sz w:val="28"/>
          <w:szCs w:val="28"/>
        </w:rPr>
        <w:t>教育强国背景下的大学外语课程体系改革</w:t>
      </w:r>
      <w:r>
        <w:rPr>
          <w:rFonts w:hint="eastAsia" w:ascii="仿宋_GB2312" w:hAnsi="仿宋"/>
          <w:sz w:val="28"/>
          <w:szCs w:val="28"/>
          <w:lang w:eastAsia="zh-CN"/>
        </w:rPr>
        <w:t>；</w:t>
      </w:r>
      <w:r>
        <w:rPr>
          <w:rFonts w:hint="eastAsia" w:ascii="仿宋_GB2312" w:hAnsi="仿宋"/>
          <w:sz w:val="28"/>
          <w:szCs w:val="28"/>
        </w:rPr>
        <w:t>人工智能与外语教育融合创新</w:t>
      </w:r>
      <w:r>
        <w:rPr>
          <w:rFonts w:hint="eastAsia" w:ascii="仿宋_GB2312" w:hAnsi="仿宋"/>
          <w:sz w:val="28"/>
          <w:szCs w:val="28"/>
          <w:lang w:eastAsia="zh-CN"/>
        </w:rPr>
        <w:t>；</w:t>
      </w:r>
      <w:r>
        <w:rPr>
          <w:rFonts w:hint="eastAsia" w:ascii="仿宋_GB2312" w:hAnsi="仿宋"/>
          <w:sz w:val="28"/>
          <w:szCs w:val="28"/>
        </w:rPr>
        <w:t>数字教育生态与智慧课堂建设</w:t>
      </w:r>
      <w:r>
        <w:rPr>
          <w:rFonts w:hint="eastAsia" w:ascii="仿宋_GB2312" w:hAnsi="仿宋"/>
          <w:sz w:val="28"/>
          <w:szCs w:val="28"/>
          <w:lang w:eastAsia="zh-CN"/>
        </w:rPr>
        <w:t>；</w:t>
      </w:r>
      <w:r>
        <w:rPr>
          <w:rFonts w:hint="eastAsia" w:ascii="仿宋_GB2312" w:hAnsi="仿宋"/>
          <w:sz w:val="28"/>
          <w:szCs w:val="28"/>
        </w:rPr>
        <w:t>全球胜任力与文化传播能力培养</w:t>
      </w:r>
      <w:r>
        <w:rPr>
          <w:rFonts w:hint="eastAsia" w:ascii="仿宋_GB2312" w:hAnsi="仿宋"/>
          <w:sz w:val="28"/>
          <w:szCs w:val="28"/>
          <w:lang w:eastAsia="zh-CN"/>
        </w:rPr>
        <w:t>；</w:t>
      </w:r>
      <w:r>
        <w:rPr>
          <w:rFonts w:hint="eastAsia" w:ascii="仿宋_GB2312" w:hAnsi="仿宋"/>
          <w:sz w:val="28"/>
          <w:szCs w:val="28"/>
        </w:rPr>
        <w:t>高校外语教师教学能力发展与支持机制</w:t>
      </w:r>
      <w:r>
        <w:rPr>
          <w:rFonts w:hint="eastAsia" w:ascii="仿宋_GB2312" w:hAnsi="仿宋"/>
          <w:sz w:val="28"/>
          <w:szCs w:val="28"/>
          <w:lang w:eastAsia="zh-CN"/>
        </w:rPr>
        <w:t>；</w:t>
      </w:r>
      <w:bookmarkEnd w:id="2"/>
      <w:r>
        <w:rPr>
          <w:rFonts w:hint="eastAsia" w:ascii="仿宋_GB2312" w:hAnsi="仿宋"/>
          <w:sz w:val="28"/>
          <w:szCs w:val="28"/>
        </w:rPr>
        <w:t>涉外法治人才培养路径与外语教学协同机制研究</w:t>
      </w:r>
      <w:r>
        <w:rPr>
          <w:rFonts w:hint="eastAsia" w:ascii="仿宋_GB2312" w:hAnsi="仿宋"/>
          <w:sz w:val="28"/>
          <w:szCs w:val="28"/>
          <w:lang w:eastAsia="zh-CN"/>
        </w:rPr>
        <w:t>；</w:t>
      </w:r>
      <w:r>
        <w:rPr>
          <w:rFonts w:hint="eastAsia" w:ascii="仿宋_GB2312" w:hAnsi="仿宋"/>
          <w:sz w:val="28"/>
          <w:szCs w:val="28"/>
        </w:rPr>
        <w:t>多语种及小语种翻译人才培养机制创新研究</w:t>
      </w:r>
      <w:r>
        <w:rPr>
          <w:rFonts w:hint="eastAsia" w:ascii="仿宋_GB2312" w:hAnsi="仿宋"/>
          <w:sz w:val="28"/>
          <w:szCs w:val="28"/>
          <w:lang w:eastAsia="zh-CN"/>
        </w:rPr>
        <w:t>；</w:t>
      </w:r>
      <w:r>
        <w:rPr>
          <w:rFonts w:hint="eastAsia" w:ascii="仿宋_GB2312" w:hAnsi="仿宋"/>
          <w:sz w:val="28"/>
          <w:szCs w:val="28"/>
        </w:rPr>
        <w:t>“一带一路”倡议下区域与国别研究导向的外语教育创新</w:t>
      </w:r>
      <w:r>
        <w:rPr>
          <w:rFonts w:hint="eastAsia" w:ascii="仿宋_GB2312" w:hAnsi="仿宋"/>
          <w:sz w:val="28"/>
          <w:szCs w:val="28"/>
          <w:lang w:val="en-US" w:eastAsia="zh-CN"/>
        </w:rPr>
        <w:t>等。</w:t>
      </w:r>
    </w:p>
    <w:p w14:paraId="6DA77B01">
      <w:pPr>
        <w:rPr>
          <w:rFonts w:hint="eastAsia" w:ascii="楷体" w:hAnsi="楷体" w:eastAsia="楷体" w:cs="Times New Roman"/>
          <w:b/>
          <w:bCs/>
          <w:sz w:val="32"/>
          <w:szCs w:val="32"/>
          <w:lang w:val="en-US" w:eastAsia="zh-CN"/>
        </w:rPr>
      </w:pPr>
      <w:r>
        <w:rPr>
          <w:rFonts w:hint="eastAsia" w:ascii="楷体" w:hAnsi="楷体" w:eastAsia="楷体" w:cs="Times New Roman"/>
          <w:b/>
          <w:bCs/>
          <w:sz w:val="32"/>
          <w:szCs w:val="32"/>
          <w:lang w:val="en-US" w:eastAsia="zh-CN"/>
        </w:rPr>
        <w:t>四、大学体育专项</w:t>
      </w:r>
    </w:p>
    <w:p w14:paraId="275BE16A">
      <w:pPr>
        <w:ind w:firstLine="560" w:firstLineChars="200"/>
        <w:rPr>
          <w:rFonts w:hint="eastAsia" w:ascii="仿宋_GB2312" w:hAnsi="仿宋"/>
          <w:sz w:val="28"/>
          <w:szCs w:val="28"/>
          <w:lang w:val="en-US" w:eastAsia="zh-CN"/>
        </w:rPr>
      </w:pPr>
      <w:r>
        <w:rPr>
          <w:rFonts w:hint="eastAsia" w:ascii="仿宋_GB2312" w:hAnsi="仿宋"/>
          <w:sz w:val="28"/>
          <w:szCs w:val="28"/>
        </w:rPr>
        <w:t>学校体育基础理论研究</w:t>
      </w:r>
      <w:r>
        <w:rPr>
          <w:rFonts w:hint="eastAsia" w:ascii="仿宋_GB2312" w:hAnsi="仿宋"/>
          <w:sz w:val="28"/>
          <w:szCs w:val="28"/>
          <w:lang w:eastAsia="zh-CN"/>
        </w:rPr>
        <w:t>；</w:t>
      </w:r>
      <w:r>
        <w:rPr>
          <w:rFonts w:hint="eastAsia" w:ascii="仿宋_GB2312" w:hAnsi="仿宋"/>
          <w:sz w:val="28"/>
          <w:szCs w:val="28"/>
        </w:rPr>
        <w:t>体育专业建设与人才培养模式创新研究</w:t>
      </w:r>
      <w:r>
        <w:rPr>
          <w:rFonts w:hint="eastAsia" w:ascii="仿宋_GB2312" w:hAnsi="仿宋"/>
          <w:sz w:val="28"/>
          <w:szCs w:val="28"/>
          <w:lang w:val="en-US" w:eastAsia="zh-CN"/>
        </w:rPr>
        <w:t>；</w:t>
      </w:r>
      <w:r>
        <w:rPr>
          <w:rFonts w:hint="eastAsia" w:ascii="仿宋_GB2312" w:hAnsi="仿宋"/>
          <w:sz w:val="28"/>
          <w:szCs w:val="28"/>
        </w:rPr>
        <w:t>体育课程与教学研究</w:t>
      </w:r>
      <w:r>
        <w:rPr>
          <w:rFonts w:hint="eastAsia" w:ascii="仿宋_GB2312" w:hAnsi="仿宋"/>
          <w:sz w:val="28"/>
          <w:szCs w:val="28"/>
          <w:lang w:eastAsia="zh-CN"/>
        </w:rPr>
        <w:t>；</w:t>
      </w:r>
      <w:r>
        <w:rPr>
          <w:rFonts w:hint="eastAsia" w:ascii="仿宋_GB2312" w:hAnsi="仿宋"/>
          <w:sz w:val="28"/>
          <w:szCs w:val="28"/>
        </w:rPr>
        <w:t>体育运动与健康促进</w:t>
      </w:r>
      <w:r>
        <w:rPr>
          <w:rFonts w:hint="eastAsia" w:ascii="仿宋_GB2312" w:hAnsi="仿宋"/>
          <w:sz w:val="28"/>
          <w:szCs w:val="28"/>
          <w:lang w:eastAsia="zh-CN"/>
        </w:rPr>
        <w:t>；</w:t>
      </w:r>
      <w:r>
        <w:rPr>
          <w:rFonts w:hint="eastAsia" w:ascii="仿宋_GB2312" w:hAnsi="仿宋"/>
          <w:sz w:val="28"/>
          <w:szCs w:val="28"/>
        </w:rPr>
        <w:t>体育教师队伍建设研究</w:t>
      </w:r>
      <w:r>
        <w:rPr>
          <w:rFonts w:hint="eastAsia" w:ascii="仿宋_GB2312" w:hAnsi="仿宋"/>
          <w:sz w:val="28"/>
          <w:szCs w:val="28"/>
          <w:lang w:eastAsia="zh-CN"/>
        </w:rPr>
        <w:t>；</w:t>
      </w:r>
      <w:r>
        <w:rPr>
          <w:rFonts w:hint="eastAsia" w:ascii="仿宋_GB2312" w:hAnsi="仿宋"/>
          <w:sz w:val="28"/>
          <w:szCs w:val="28"/>
        </w:rPr>
        <w:t>学校体育管理、评价与制度建设</w:t>
      </w:r>
      <w:r>
        <w:rPr>
          <w:rFonts w:hint="eastAsia" w:ascii="仿宋_GB2312" w:hAnsi="仿宋"/>
          <w:sz w:val="28"/>
          <w:szCs w:val="28"/>
          <w:lang w:val="en-US" w:eastAsia="zh-CN"/>
        </w:rPr>
        <w:t>等。</w:t>
      </w:r>
    </w:p>
    <w:p w14:paraId="7330A12E">
      <w:pPr>
        <w:rPr>
          <w:rFonts w:hint="eastAsia" w:ascii="楷体" w:hAnsi="楷体" w:eastAsia="楷体" w:cs="Times New Roman"/>
          <w:b/>
          <w:bCs/>
          <w:sz w:val="32"/>
          <w:szCs w:val="32"/>
          <w:lang w:val="en-US" w:eastAsia="zh-CN"/>
        </w:rPr>
      </w:pPr>
      <w:r>
        <w:rPr>
          <w:rFonts w:hint="eastAsia" w:ascii="楷体" w:hAnsi="楷体" w:eastAsia="楷体" w:cs="Times New Roman"/>
          <w:b/>
          <w:bCs/>
          <w:sz w:val="32"/>
          <w:szCs w:val="32"/>
          <w:lang w:val="en-US" w:eastAsia="zh-CN"/>
        </w:rPr>
        <w:t>五、实验室研究专项</w:t>
      </w:r>
    </w:p>
    <w:p w14:paraId="659F9FCA">
      <w:pPr>
        <w:ind w:firstLine="560" w:firstLineChars="200"/>
        <w:rPr>
          <w:rFonts w:hint="eastAsia" w:ascii="仿宋_GB2312" w:hAnsi="仿宋"/>
          <w:sz w:val="28"/>
          <w:szCs w:val="28"/>
          <w:lang w:eastAsia="zh-CN"/>
        </w:rPr>
      </w:pPr>
      <w:r>
        <w:rPr>
          <w:rFonts w:hint="eastAsia" w:ascii="仿宋_GB2312" w:hAnsi="仿宋"/>
          <w:sz w:val="28"/>
          <w:szCs w:val="28"/>
          <w:lang w:val="en-US" w:eastAsia="zh-CN"/>
        </w:rPr>
        <w:t>实验教学示范中心研究与实践；高校实验教学条件建设与方法研究；实验室（实训）建设与管理；实验室仪器设备管理；实验技术队伍建设管理；实验室技术安全管理；高校实验室安全工作体系与机制研究；高校实验室安全信息化建设等。</w:t>
      </w:r>
    </w:p>
    <w:p w14:paraId="42AD19BE">
      <w:pPr>
        <w:rPr>
          <w:rFonts w:hint="eastAsia" w:ascii="楷体" w:hAnsi="楷体" w:eastAsia="楷体" w:cs="Times New Roman"/>
          <w:b/>
          <w:bCs/>
          <w:sz w:val="32"/>
          <w:szCs w:val="32"/>
          <w:lang w:val="en-US" w:eastAsia="zh-CN"/>
        </w:rPr>
      </w:pPr>
      <w:r>
        <w:rPr>
          <w:rFonts w:hint="eastAsia" w:ascii="楷体" w:hAnsi="楷体" w:eastAsia="楷体" w:cs="Times New Roman"/>
          <w:b/>
          <w:bCs/>
          <w:sz w:val="32"/>
          <w:szCs w:val="32"/>
          <w:lang w:val="en-US" w:eastAsia="zh-CN"/>
        </w:rPr>
        <w:t>六</w:t>
      </w:r>
      <w:bookmarkStart w:id="3" w:name="_GoBack"/>
      <w:bookmarkEnd w:id="3"/>
      <w:r>
        <w:rPr>
          <w:rFonts w:hint="eastAsia" w:ascii="楷体" w:hAnsi="楷体" w:eastAsia="楷体" w:cs="Times New Roman"/>
          <w:b/>
          <w:bCs/>
          <w:sz w:val="32"/>
          <w:szCs w:val="32"/>
          <w:lang w:val="en-US" w:eastAsia="zh-CN"/>
        </w:rPr>
        <w:t>、生涯教育与就业指导专项</w:t>
      </w:r>
    </w:p>
    <w:p w14:paraId="4D4D14D6">
      <w:pPr>
        <w:ind w:firstLine="560" w:firstLineChars="200"/>
        <w:rPr>
          <w:rFonts w:hint="eastAsia" w:ascii="仿宋_GB2312" w:hAnsi="仿宋"/>
          <w:sz w:val="28"/>
          <w:szCs w:val="28"/>
          <w:lang w:val="en-US" w:eastAsia="zh-CN"/>
        </w:rPr>
      </w:pPr>
      <w:r>
        <w:rPr>
          <w:rFonts w:hint="eastAsia" w:ascii="仿宋_GB2312" w:hAnsi="仿宋"/>
          <w:sz w:val="28"/>
          <w:szCs w:val="28"/>
          <w:lang w:val="en-US" w:eastAsia="zh-CN"/>
        </w:rPr>
        <w:t>生涯教育的理念与路径研究；教育数字化赋能生涯教育研究；大学生生涯教育的内容、形式和实施方案；高校生涯教育与专业融合模式研究；生涯教育师资认证体系研究；特殊群体的生涯教育与对策研究；大学生生涯困惑及解决对策；生涯规划教育与心理健康教育协同推进研究；大学生心理健康素养的提升策略；高校心理健康教育大型宣传干预活动的设计、实施和效果评估；大学生学习动机的社会心理因素剖析与激发路径探索等。</w:t>
      </w:r>
    </w:p>
    <w:p w14:paraId="7D786D50">
      <w:pPr>
        <w:rPr>
          <w:rFonts w:hint="default" w:ascii="仿宋_GB2312" w:hAnsi="仿宋"/>
          <w:sz w:val="28"/>
          <w:szCs w:val="28"/>
          <w:lang w:val="en-US" w:eastAsia="zh-CN"/>
        </w:rPr>
      </w:pPr>
    </w:p>
    <w:p w14:paraId="24F12629">
      <w:pPr>
        <w:ind w:firstLine="560" w:firstLineChars="200"/>
        <w:rPr>
          <w:rFonts w:hint="default" w:ascii="仿宋_GB2312" w:hAnsi="仿宋"/>
          <w:sz w:val="28"/>
          <w:szCs w:val="28"/>
          <w:lang w:val="en-US" w:eastAsia="zh-CN"/>
        </w:rPr>
      </w:pPr>
    </w:p>
    <w:sectPr>
      <w:footerReference r:id="rId5" w:type="first"/>
      <w:footerReference r:id="rId3" w:type="default"/>
      <w:footerReference r:id="rId4" w:type="even"/>
      <w:type w:val="nextColumn"/>
      <w:pgSz w:w="11906" w:h="16838"/>
      <w:pgMar w:top="1440" w:right="1701" w:bottom="1440" w:left="1871"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方正仿宋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669215">
    <w:pPr>
      <w:pStyle w:val="5"/>
      <w:jc w:val="center"/>
    </w:pPr>
    <w:r>
      <w:fldChar w:fldCharType="begin"/>
    </w:r>
    <w:r>
      <w:instrText xml:space="preserve"> PAGE   \* MERGEFORMAT </w:instrText>
    </w:r>
    <w:r>
      <w:fldChar w:fldCharType="separate"/>
    </w:r>
    <w:r>
      <w:rPr>
        <w:lang w:val="zh-CN"/>
      </w:rPr>
      <w:t>2</w:t>
    </w:r>
    <w:r>
      <w:fldChar w:fldCharType="end"/>
    </w:r>
  </w:p>
  <w:p w14:paraId="66FE2880">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5CBC5">
    <w:pPr>
      <w:pStyle w:val="5"/>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14:paraId="1F327584">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FDBBD4">
    <w:pPr>
      <w:pStyle w:val="5"/>
      <w:jc w:val="center"/>
    </w:pPr>
    <w:r>
      <w:fldChar w:fldCharType="begin"/>
    </w:r>
    <w:r>
      <w:instrText xml:space="preserve"> PAGE   \* MERGEFORMAT </w:instrText>
    </w:r>
    <w:r>
      <w:fldChar w:fldCharType="separate"/>
    </w:r>
    <w:r>
      <w:rPr>
        <w:lang w:val="zh-CN"/>
      </w:rPr>
      <w:t>1</w:t>
    </w:r>
    <w:r>
      <w:fldChar w:fldCharType="end"/>
    </w:r>
  </w:p>
  <w:p w14:paraId="58103D4A">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04F00E"/>
    <w:multiLevelType w:val="singleLevel"/>
    <w:tmpl w:val="9904F00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5"/>
  <w:drawingGridHorizontalSpacing w:val="160"/>
  <w:drawingGridVerticalSpacing w:val="587"/>
  <w:displayHorizontalDrawingGridEvery w:val="1"/>
  <w:displayVerticalDrawingGridEvery w:val="1"/>
  <w:noPunctuationKerning w:val="1"/>
  <w:characterSpacingControl w:val="compressPunctuation"/>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E1YWZmN2Y3ODJjMzdhZTE0ZGRmOTgzNGU3ZWQzZmIifQ=="/>
  </w:docVars>
  <w:rsids>
    <w:rsidRoot w:val="00D05E9F"/>
    <w:rsid w:val="000075F7"/>
    <w:rsid w:val="00013C60"/>
    <w:rsid w:val="00020976"/>
    <w:rsid w:val="00021C9C"/>
    <w:rsid w:val="0002396E"/>
    <w:rsid w:val="000275A2"/>
    <w:rsid w:val="000300A3"/>
    <w:rsid w:val="00030F6B"/>
    <w:rsid w:val="00035CFD"/>
    <w:rsid w:val="000379A4"/>
    <w:rsid w:val="000416D4"/>
    <w:rsid w:val="00043A4C"/>
    <w:rsid w:val="00044686"/>
    <w:rsid w:val="000454D5"/>
    <w:rsid w:val="00046627"/>
    <w:rsid w:val="0005190A"/>
    <w:rsid w:val="000520B7"/>
    <w:rsid w:val="000657D5"/>
    <w:rsid w:val="00066287"/>
    <w:rsid w:val="0006737E"/>
    <w:rsid w:val="00071BEC"/>
    <w:rsid w:val="0007368E"/>
    <w:rsid w:val="0007444D"/>
    <w:rsid w:val="00074D85"/>
    <w:rsid w:val="00074E8B"/>
    <w:rsid w:val="00080204"/>
    <w:rsid w:val="00081F7C"/>
    <w:rsid w:val="00083052"/>
    <w:rsid w:val="00087711"/>
    <w:rsid w:val="00093E1F"/>
    <w:rsid w:val="00095915"/>
    <w:rsid w:val="000A6D80"/>
    <w:rsid w:val="000B1A08"/>
    <w:rsid w:val="000B219D"/>
    <w:rsid w:val="000B7D65"/>
    <w:rsid w:val="000C0341"/>
    <w:rsid w:val="000C1138"/>
    <w:rsid w:val="000C22A8"/>
    <w:rsid w:val="000C5A99"/>
    <w:rsid w:val="000C6A4C"/>
    <w:rsid w:val="000D0C02"/>
    <w:rsid w:val="000D0C15"/>
    <w:rsid w:val="000D6303"/>
    <w:rsid w:val="000D6F20"/>
    <w:rsid w:val="000E16DD"/>
    <w:rsid w:val="000E20C0"/>
    <w:rsid w:val="000F3AD8"/>
    <w:rsid w:val="000F5DC5"/>
    <w:rsid w:val="0011069D"/>
    <w:rsid w:val="001106A8"/>
    <w:rsid w:val="00110C94"/>
    <w:rsid w:val="00111799"/>
    <w:rsid w:val="00112007"/>
    <w:rsid w:val="00112EF8"/>
    <w:rsid w:val="00113FC8"/>
    <w:rsid w:val="0011407D"/>
    <w:rsid w:val="001240CD"/>
    <w:rsid w:val="001244A8"/>
    <w:rsid w:val="00124B60"/>
    <w:rsid w:val="0012722C"/>
    <w:rsid w:val="001314CC"/>
    <w:rsid w:val="00140E90"/>
    <w:rsid w:val="00143010"/>
    <w:rsid w:val="00156583"/>
    <w:rsid w:val="001613FB"/>
    <w:rsid w:val="00167A58"/>
    <w:rsid w:val="001757A1"/>
    <w:rsid w:val="0017626C"/>
    <w:rsid w:val="00183C51"/>
    <w:rsid w:val="00184732"/>
    <w:rsid w:val="0019408E"/>
    <w:rsid w:val="001A1A1E"/>
    <w:rsid w:val="001A596B"/>
    <w:rsid w:val="001A5C43"/>
    <w:rsid w:val="001A6479"/>
    <w:rsid w:val="001B21C3"/>
    <w:rsid w:val="001B6125"/>
    <w:rsid w:val="001B7CAB"/>
    <w:rsid w:val="001C24F5"/>
    <w:rsid w:val="001D1D3A"/>
    <w:rsid w:val="001E42B0"/>
    <w:rsid w:val="001E60D1"/>
    <w:rsid w:val="001F2C53"/>
    <w:rsid w:val="001F32A1"/>
    <w:rsid w:val="001F6D77"/>
    <w:rsid w:val="00202942"/>
    <w:rsid w:val="002065F2"/>
    <w:rsid w:val="00206DB4"/>
    <w:rsid w:val="00212156"/>
    <w:rsid w:val="002254AB"/>
    <w:rsid w:val="00230941"/>
    <w:rsid w:val="0023240C"/>
    <w:rsid w:val="0023258F"/>
    <w:rsid w:val="00232C10"/>
    <w:rsid w:val="00233406"/>
    <w:rsid w:val="00240247"/>
    <w:rsid w:val="0024433A"/>
    <w:rsid w:val="002451BD"/>
    <w:rsid w:val="00246224"/>
    <w:rsid w:val="0024632C"/>
    <w:rsid w:val="0025210C"/>
    <w:rsid w:val="002526B7"/>
    <w:rsid w:val="00256248"/>
    <w:rsid w:val="00262F32"/>
    <w:rsid w:val="00270DB7"/>
    <w:rsid w:val="00273D39"/>
    <w:rsid w:val="002760D2"/>
    <w:rsid w:val="002808B2"/>
    <w:rsid w:val="00285F82"/>
    <w:rsid w:val="002861C1"/>
    <w:rsid w:val="00292F33"/>
    <w:rsid w:val="0029566B"/>
    <w:rsid w:val="002A3995"/>
    <w:rsid w:val="002A7E0A"/>
    <w:rsid w:val="002B1DC0"/>
    <w:rsid w:val="002B2AD8"/>
    <w:rsid w:val="002B2EE5"/>
    <w:rsid w:val="002C19F0"/>
    <w:rsid w:val="002D5D09"/>
    <w:rsid w:val="002D7547"/>
    <w:rsid w:val="002E093F"/>
    <w:rsid w:val="002E3516"/>
    <w:rsid w:val="002F5479"/>
    <w:rsid w:val="00301A76"/>
    <w:rsid w:val="0030500D"/>
    <w:rsid w:val="00306473"/>
    <w:rsid w:val="00307979"/>
    <w:rsid w:val="003108A7"/>
    <w:rsid w:val="003110EB"/>
    <w:rsid w:val="00312FCB"/>
    <w:rsid w:val="00323FE7"/>
    <w:rsid w:val="00325B3F"/>
    <w:rsid w:val="00330B64"/>
    <w:rsid w:val="00333A26"/>
    <w:rsid w:val="00343742"/>
    <w:rsid w:val="0035032F"/>
    <w:rsid w:val="00360093"/>
    <w:rsid w:val="00361A43"/>
    <w:rsid w:val="003720ED"/>
    <w:rsid w:val="00373A4B"/>
    <w:rsid w:val="003772C3"/>
    <w:rsid w:val="00380E2C"/>
    <w:rsid w:val="003863F5"/>
    <w:rsid w:val="003900FE"/>
    <w:rsid w:val="00396141"/>
    <w:rsid w:val="0039693D"/>
    <w:rsid w:val="00397435"/>
    <w:rsid w:val="003A0AEB"/>
    <w:rsid w:val="003A2B6D"/>
    <w:rsid w:val="003A6BB7"/>
    <w:rsid w:val="003B06E8"/>
    <w:rsid w:val="003B3FDD"/>
    <w:rsid w:val="003B6BA8"/>
    <w:rsid w:val="003C20CB"/>
    <w:rsid w:val="003C6E22"/>
    <w:rsid w:val="003D1820"/>
    <w:rsid w:val="003D45F2"/>
    <w:rsid w:val="003E5AE3"/>
    <w:rsid w:val="003E6625"/>
    <w:rsid w:val="003E7387"/>
    <w:rsid w:val="003F2E93"/>
    <w:rsid w:val="004027A8"/>
    <w:rsid w:val="00407AC6"/>
    <w:rsid w:val="00417548"/>
    <w:rsid w:val="00420AFC"/>
    <w:rsid w:val="00422D5B"/>
    <w:rsid w:val="004231A7"/>
    <w:rsid w:val="004248C5"/>
    <w:rsid w:val="00431375"/>
    <w:rsid w:val="00442454"/>
    <w:rsid w:val="00442813"/>
    <w:rsid w:val="004434FE"/>
    <w:rsid w:val="004525D4"/>
    <w:rsid w:val="00453759"/>
    <w:rsid w:val="0046490A"/>
    <w:rsid w:val="00470149"/>
    <w:rsid w:val="0047110E"/>
    <w:rsid w:val="00474CBA"/>
    <w:rsid w:val="00474E8D"/>
    <w:rsid w:val="00475548"/>
    <w:rsid w:val="00480336"/>
    <w:rsid w:val="004836CC"/>
    <w:rsid w:val="00484D11"/>
    <w:rsid w:val="00485579"/>
    <w:rsid w:val="004A134B"/>
    <w:rsid w:val="004A1D6D"/>
    <w:rsid w:val="004A2E88"/>
    <w:rsid w:val="004A72A8"/>
    <w:rsid w:val="004B1860"/>
    <w:rsid w:val="004B31E8"/>
    <w:rsid w:val="004B7270"/>
    <w:rsid w:val="004C2ACC"/>
    <w:rsid w:val="004C2DF7"/>
    <w:rsid w:val="004C38B8"/>
    <w:rsid w:val="004D048D"/>
    <w:rsid w:val="004E12A6"/>
    <w:rsid w:val="004E25F4"/>
    <w:rsid w:val="004E696C"/>
    <w:rsid w:val="004F6667"/>
    <w:rsid w:val="00504D01"/>
    <w:rsid w:val="00522734"/>
    <w:rsid w:val="0053226E"/>
    <w:rsid w:val="00540BB9"/>
    <w:rsid w:val="00542AF2"/>
    <w:rsid w:val="005431EE"/>
    <w:rsid w:val="005460AF"/>
    <w:rsid w:val="00557529"/>
    <w:rsid w:val="00557D97"/>
    <w:rsid w:val="00560275"/>
    <w:rsid w:val="005637C8"/>
    <w:rsid w:val="00565633"/>
    <w:rsid w:val="005660B7"/>
    <w:rsid w:val="00574B7E"/>
    <w:rsid w:val="00576B5F"/>
    <w:rsid w:val="005809B5"/>
    <w:rsid w:val="0058133A"/>
    <w:rsid w:val="00582C03"/>
    <w:rsid w:val="005915CB"/>
    <w:rsid w:val="005925FC"/>
    <w:rsid w:val="00595BF0"/>
    <w:rsid w:val="00597C3C"/>
    <w:rsid w:val="005A1FD3"/>
    <w:rsid w:val="005A5A9F"/>
    <w:rsid w:val="005B7A12"/>
    <w:rsid w:val="005C0B9B"/>
    <w:rsid w:val="005C17F5"/>
    <w:rsid w:val="005D2F3C"/>
    <w:rsid w:val="005D420F"/>
    <w:rsid w:val="005E4FCA"/>
    <w:rsid w:val="005E5C14"/>
    <w:rsid w:val="005F1BE7"/>
    <w:rsid w:val="005F28EC"/>
    <w:rsid w:val="005F35A1"/>
    <w:rsid w:val="005F68DE"/>
    <w:rsid w:val="005F7DB0"/>
    <w:rsid w:val="0060228F"/>
    <w:rsid w:val="0060310A"/>
    <w:rsid w:val="00603E8A"/>
    <w:rsid w:val="006067E6"/>
    <w:rsid w:val="00606899"/>
    <w:rsid w:val="0061236C"/>
    <w:rsid w:val="006234C3"/>
    <w:rsid w:val="00630418"/>
    <w:rsid w:val="00637669"/>
    <w:rsid w:val="00644454"/>
    <w:rsid w:val="0065267E"/>
    <w:rsid w:val="00652E9C"/>
    <w:rsid w:val="00657A87"/>
    <w:rsid w:val="00664F47"/>
    <w:rsid w:val="00665CFB"/>
    <w:rsid w:val="00666838"/>
    <w:rsid w:val="00672FA3"/>
    <w:rsid w:val="00677140"/>
    <w:rsid w:val="006878AD"/>
    <w:rsid w:val="00687D7E"/>
    <w:rsid w:val="006B0C8F"/>
    <w:rsid w:val="006B32D1"/>
    <w:rsid w:val="006B5E07"/>
    <w:rsid w:val="006B6603"/>
    <w:rsid w:val="006C0B46"/>
    <w:rsid w:val="006C35E7"/>
    <w:rsid w:val="006C6535"/>
    <w:rsid w:val="006C6F2A"/>
    <w:rsid w:val="006C77CF"/>
    <w:rsid w:val="006D36E3"/>
    <w:rsid w:val="006E5228"/>
    <w:rsid w:val="006E6579"/>
    <w:rsid w:val="006E6BB3"/>
    <w:rsid w:val="006F2504"/>
    <w:rsid w:val="006F726C"/>
    <w:rsid w:val="00702D7F"/>
    <w:rsid w:val="00705B14"/>
    <w:rsid w:val="0071048F"/>
    <w:rsid w:val="00714210"/>
    <w:rsid w:val="00720284"/>
    <w:rsid w:val="00732B1A"/>
    <w:rsid w:val="00732EEB"/>
    <w:rsid w:val="00737C3E"/>
    <w:rsid w:val="00742FBD"/>
    <w:rsid w:val="007442D7"/>
    <w:rsid w:val="007502E3"/>
    <w:rsid w:val="00751EA1"/>
    <w:rsid w:val="0077216D"/>
    <w:rsid w:val="007721D5"/>
    <w:rsid w:val="00772BAC"/>
    <w:rsid w:val="007736F4"/>
    <w:rsid w:val="00774153"/>
    <w:rsid w:val="00776EE6"/>
    <w:rsid w:val="007775E9"/>
    <w:rsid w:val="00777984"/>
    <w:rsid w:val="007805EF"/>
    <w:rsid w:val="0078073A"/>
    <w:rsid w:val="00781B05"/>
    <w:rsid w:val="007830BD"/>
    <w:rsid w:val="00783274"/>
    <w:rsid w:val="00786980"/>
    <w:rsid w:val="007905E4"/>
    <w:rsid w:val="007B2A6C"/>
    <w:rsid w:val="007B6BAA"/>
    <w:rsid w:val="007C43F3"/>
    <w:rsid w:val="007C4CE3"/>
    <w:rsid w:val="007C4DE9"/>
    <w:rsid w:val="007C50D5"/>
    <w:rsid w:val="007D1461"/>
    <w:rsid w:val="007E1459"/>
    <w:rsid w:val="007E74E6"/>
    <w:rsid w:val="007F5D22"/>
    <w:rsid w:val="00806E65"/>
    <w:rsid w:val="008105CE"/>
    <w:rsid w:val="0081266F"/>
    <w:rsid w:val="00812D72"/>
    <w:rsid w:val="00813E2C"/>
    <w:rsid w:val="00814F2B"/>
    <w:rsid w:val="008179B8"/>
    <w:rsid w:val="00817E00"/>
    <w:rsid w:val="00823B32"/>
    <w:rsid w:val="008269A1"/>
    <w:rsid w:val="008273DE"/>
    <w:rsid w:val="00831083"/>
    <w:rsid w:val="008324C1"/>
    <w:rsid w:val="00832F16"/>
    <w:rsid w:val="00837997"/>
    <w:rsid w:val="00840AF6"/>
    <w:rsid w:val="00841063"/>
    <w:rsid w:val="00841650"/>
    <w:rsid w:val="0085449B"/>
    <w:rsid w:val="0085546B"/>
    <w:rsid w:val="00856054"/>
    <w:rsid w:val="0085688E"/>
    <w:rsid w:val="00857E89"/>
    <w:rsid w:val="00870669"/>
    <w:rsid w:val="00872CFF"/>
    <w:rsid w:val="00873201"/>
    <w:rsid w:val="00877BBF"/>
    <w:rsid w:val="008831E5"/>
    <w:rsid w:val="00886609"/>
    <w:rsid w:val="00887120"/>
    <w:rsid w:val="008921D9"/>
    <w:rsid w:val="00892E00"/>
    <w:rsid w:val="00896DFA"/>
    <w:rsid w:val="008B00DA"/>
    <w:rsid w:val="008B38FD"/>
    <w:rsid w:val="008B4135"/>
    <w:rsid w:val="008C4722"/>
    <w:rsid w:val="008D43E1"/>
    <w:rsid w:val="008D4E64"/>
    <w:rsid w:val="008D5564"/>
    <w:rsid w:val="008E1C9D"/>
    <w:rsid w:val="008E37C5"/>
    <w:rsid w:val="008F084D"/>
    <w:rsid w:val="008F6C0B"/>
    <w:rsid w:val="00900ECB"/>
    <w:rsid w:val="009045EF"/>
    <w:rsid w:val="0090528B"/>
    <w:rsid w:val="00910DEF"/>
    <w:rsid w:val="009110F9"/>
    <w:rsid w:val="009214C3"/>
    <w:rsid w:val="0092591E"/>
    <w:rsid w:val="00925A77"/>
    <w:rsid w:val="00930D9F"/>
    <w:rsid w:val="00934011"/>
    <w:rsid w:val="00935FBA"/>
    <w:rsid w:val="0093683F"/>
    <w:rsid w:val="00941095"/>
    <w:rsid w:val="00945877"/>
    <w:rsid w:val="009458BA"/>
    <w:rsid w:val="00947505"/>
    <w:rsid w:val="009549C1"/>
    <w:rsid w:val="009563B2"/>
    <w:rsid w:val="00961E75"/>
    <w:rsid w:val="00965D5C"/>
    <w:rsid w:val="00967FB8"/>
    <w:rsid w:val="0097057E"/>
    <w:rsid w:val="0097073C"/>
    <w:rsid w:val="00970D50"/>
    <w:rsid w:val="009722C8"/>
    <w:rsid w:val="009734AB"/>
    <w:rsid w:val="00973787"/>
    <w:rsid w:val="00977409"/>
    <w:rsid w:val="00984883"/>
    <w:rsid w:val="009878DB"/>
    <w:rsid w:val="00991C39"/>
    <w:rsid w:val="00997669"/>
    <w:rsid w:val="009A23BC"/>
    <w:rsid w:val="009B41C5"/>
    <w:rsid w:val="009B6247"/>
    <w:rsid w:val="009D49D5"/>
    <w:rsid w:val="009D5587"/>
    <w:rsid w:val="009E4B87"/>
    <w:rsid w:val="009E6F89"/>
    <w:rsid w:val="009F1299"/>
    <w:rsid w:val="009F2A58"/>
    <w:rsid w:val="00A010F9"/>
    <w:rsid w:val="00A10B21"/>
    <w:rsid w:val="00A25067"/>
    <w:rsid w:val="00A26769"/>
    <w:rsid w:val="00A34986"/>
    <w:rsid w:val="00A45026"/>
    <w:rsid w:val="00A47158"/>
    <w:rsid w:val="00A477A3"/>
    <w:rsid w:val="00A544F2"/>
    <w:rsid w:val="00A6324D"/>
    <w:rsid w:val="00A64A1D"/>
    <w:rsid w:val="00A70A04"/>
    <w:rsid w:val="00A71487"/>
    <w:rsid w:val="00A71CC9"/>
    <w:rsid w:val="00A727EF"/>
    <w:rsid w:val="00A90BCE"/>
    <w:rsid w:val="00A9504E"/>
    <w:rsid w:val="00AA0814"/>
    <w:rsid w:val="00AA28CC"/>
    <w:rsid w:val="00AA391E"/>
    <w:rsid w:val="00AA6311"/>
    <w:rsid w:val="00AC2995"/>
    <w:rsid w:val="00AC3864"/>
    <w:rsid w:val="00AC4E90"/>
    <w:rsid w:val="00AD4789"/>
    <w:rsid w:val="00AD5422"/>
    <w:rsid w:val="00AD7E10"/>
    <w:rsid w:val="00AE4F94"/>
    <w:rsid w:val="00AE6ADD"/>
    <w:rsid w:val="00AF4A18"/>
    <w:rsid w:val="00B05B90"/>
    <w:rsid w:val="00B074B9"/>
    <w:rsid w:val="00B104F0"/>
    <w:rsid w:val="00B13BFA"/>
    <w:rsid w:val="00B20241"/>
    <w:rsid w:val="00B203D7"/>
    <w:rsid w:val="00B26F50"/>
    <w:rsid w:val="00B30446"/>
    <w:rsid w:val="00B31245"/>
    <w:rsid w:val="00B36062"/>
    <w:rsid w:val="00B4038F"/>
    <w:rsid w:val="00B40773"/>
    <w:rsid w:val="00B4248F"/>
    <w:rsid w:val="00B50B7F"/>
    <w:rsid w:val="00B51E62"/>
    <w:rsid w:val="00B5258D"/>
    <w:rsid w:val="00B6029C"/>
    <w:rsid w:val="00B71891"/>
    <w:rsid w:val="00B767BD"/>
    <w:rsid w:val="00B776F8"/>
    <w:rsid w:val="00B8104B"/>
    <w:rsid w:val="00B81AD2"/>
    <w:rsid w:val="00B822E3"/>
    <w:rsid w:val="00B82BFE"/>
    <w:rsid w:val="00B8326D"/>
    <w:rsid w:val="00B86720"/>
    <w:rsid w:val="00B8673C"/>
    <w:rsid w:val="00B97863"/>
    <w:rsid w:val="00BA0903"/>
    <w:rsid w:val="00BA1054"/>
    <w:rsid w:val="00BA2652"/>
    <w:rsid w:val="00BA4E4A"/>
    <w:rsid w:val="00BB0D05"/>
    <w:rsid w:val="00BB4DCC"/>
    <w:rsid w:val="00BB67B4"/>
    <w:rsid w:val="00BB73B7"/>
    <w:rsid w:val="00BC7341"/>
    <w:rsid w:val="00BD00E1"/>
    <w:rsid w:val="00BD2B23"/>
    <w:rsid w:val="00BD72C6"/>
    <w:rsid w:val="00BD74B6"/>
    <w:rsid w:val="00BE0F82"/>
    <w:rsid w:val="00BE186D"/>
    <w:rsid w:val="00BF1972"/>
    <w:rsid w:val="00BF37FE"/>
    <w:rsid w:val="00BF4286"/>
    <w:rsid w:val="00C040BA"/>
    <w:rsid w:val="00C057B1"/>
    <w:rsid w:val="00C06104"/>
    <w:rsid w:val="00C075C8"/>
    <w:rsid w:val="00C11B60"/>
    <w:rsid w:val="00C12F63"/>
    <w:rsid w:val="00C147A5"/>
    <w:rsid w:val="00C16370"/>
    <w:rsid w:val="00C17AFB"/>
    <w:rsid w:val="00C21D73"/>
    <w:rsid w:val="00C2711C"/>
    <w:rsid w:val="00C2726F"/>
    <w:rsid w:val="00C330AE"/>
    <w:rsid w:val="00C44861"/>
    <w:rsid w:val="00C52B25"/>
    <w:rsid w:val="00C537FE"/>
    <w:rsid w:val="00C55B81"/>
    <w:rsid w:val="00C5664A"/>
    <w:rsid w:val="00C56CE4"/>
    <w:rsid w:val="00C6375D"/>
    <w:rsid w:val="00C743F7"/>
    <w:rsid w:val="00C80112"/>
    <w:rsid w:val="00C827A1"/>
    <w:rsid w:val="00C8335A"/>
    <w:rsid w:val="00C83909"/>
    <w:rsid w:val="00C93E61"/>
    <w:rsid w:val="00C94B6F"/>
    <w:rsid w:val="00C95C39"/>
    <w:rsid w:val="00C96827"/>
    <w:rsid w:val="00CA19D2"/>
    <w:rsid w:val="00CA4C88"/>
    <w:rsid w:val="00CA4EA6"/>
    <w:rsid w:val="00CB068E"/>
    <w:rsid w:val="00CB24EC"/>
    <w:rsid w:val="00CB2969"/>
    <w:rsid w:val="00CB61D1"/>
    <w:rsid w:val="00CC57DF"/>
    <w:rsid w:val="00CC61F7"/>
    <w:rsid w:val="00CC6B87"/>
    <w:rsid w:val="00CD167B"/>
    <w:rsid w:val="00CD3C4E"/>
    <w:rsid w:val="00CD59FA"/>
    <w:rsid w:val="00CD613E"/>
    <w:rsid w:val="00CD62C0"/>
    <w:rsid w:val="00CD7DBD"/>
    <w:rsid w:val="00CE0C8A"/>
    <w:rsid w:val="00CE47FA"/>
    <w:rsid w:val="00CE4B59"/>
    <w:rsid w:val="00CE59BD"/>
    <w:rsid w:val="00CE7060"/>
    <w:rsid w:val="00CF0A9A"/>
    <w:rsid w:val="00CF18D6"/>
    <w:rsid w:val="00CF18EA"/>
    <w:rsid w:val="00CF4EEB"/>
    <w:rsid w:val="00CF7622"/>
    <w:rsid w:val="00D05E9F"/>
    <w:rsid w:val="00D10851"/>
    <w:rsid w:val="00D213CC"/>
    <w:rsid w:val="00D22A7A"/>
    <w:rsid w:val="00D22FDA"/>
    <w:rsid w:val="00D24BC9"/>
    <w:rsid w:val="00D252D0"/>
    <w:rsid w:val="00D347BB"/>
    <w:rsid w:val="00D447C4"/>
    <w:rsid w:val="00D4715F"/>
    <w:rsid w:val="00D507AC"/>
    <w:rsid w:val="00D54CCF"/>
    <w:rsid w:val="00D605B8"/>
    <w:rsid w:val="00D6160C"/>
    <w:rsid w:val="00D61E01"/>
    <w:rsid w:val="00D70F35"/>
    <w:rsid w:val="00D75666"/>
    <w:rsid w:val="00D76A80"/>
    <w:rsid w:val="00D861ED"/>
    <w:rsid w:val="00D942C7"/>
    <w:rsid w:val="00D96573"/>
    <w:rsid w:val="00DA0180"/>
    <w:rsid w:val="00DA14B0"/>
    <w:rsid w:val="00DA59E3"/>
    <w:rsid w:val="00DB1445"/>
    <w:rsid w:val="00DB3028"/>
    <w:rsid w:val="00DB4650"/>
    <w:rsid w:val="00DC1C04"/>
    <w:rsid w:val="00DC48EF"/>
    <w:rsid w:val="00DC56D9"/>
    <w:rsid w:val="00DD5ED1"/>
    <w:rsid w:val="00DD636C"/>
    <w:rsid w:val="00DE25DC"/>
    <w:rsid w:val="00DF0039"/>
    <w:rsid w:val="00DF3B5D"/>
    <w:rsid w:val="00E0096E"/>
    <w:rsid w:val="00E047D1"/>
    <w:rsid w:val="00E05420"/>
    <w:rsid w:val="00E12D7F"/>
    <w:rsid w:val="00E1313E"/>
    <w:rsid w:val="00E139DD"/>
    <w:rsid w:val="00E13B6C"/>
    <w:rsid w:val="00E15E9A"/>
    <w:rsid w:val="00E20DF1"/>
    <w:rsid w:val="00E34EF4"/>
    <w:rsid w:val="00E35ED5"/>
    <w:rsid w:val="00E37FC2"/>
    <w:rsid w:val="00E40B14"/>
    <w:rsid w:val="00E4227F"/>
    <w:rsid w:val="00E43A72"/>
    <w:rsid w:val="00E45730"/>
    <w:rsid w:val="00E459C0"/>
    <w:rsid w:val="00E45E99"/>
    <w:rsid w:val="00E46420"/>
    <w:rsid w:val="00E4748C"/>
    <w:rsid w:val="00E50DB0"/>
    <w:rsid w:val="00E548BB"/>
    <w:rsid w:val="00E6433A"/>
    <w:rsid w:val="00E64C2D"/>
    <w:rsid w:val="00E661C2"/>
    <w:rsid w:val="00E66BB6"/>
    <w:rsid w:val="00E71C4F"/>
    <w:rsid w:val="00E73DEC"/>
    <w:rsid w:val="00E83DD5"/>
    <w:rsid w:val="00E90B13"/>
    <w:rsid w:val="00E91AF8"/>
    <w:rsid w:val="00E93835"/>
    <w:rsid w:val="00E94989"/>
    <w:rsid w:val="00EA1AAB"/>
    <w:rsid w:val="00EB20D7"/>
    <w:rsid w:val="00EB2A38"/>
    <w:rsid w:val="00EB3C22"/>
    <w:rsid w:val="00EC0520"/>
    <w:rsid w:val="00EC1C00"/>
    <w:rsid w:val="00ED41DE"/>
    <w:rsid w:val="00ED4EFD"/>
    <w:rsid w:val="00EE124A"/>
    <w:rsid w:val="00EE4D2F"/>
    <w:rsid w:val="00EE6612"/>
    <w:rsid w:val="00EF4E5A"/>
    <w:rsid w:val="00EF5499"/>
    <w:rsid w:val="00EF64AC"/>
    <w:rsid w:val="00F04C6F"/>
    <w:rsid w:val="00F04DC4"/>
    <w:rsid w:val="00F0621D"/>
    <w:rsid w:val="00F17419"/>
    <w:rsid w:val="00F22BFD"/>
    <w:rsid w:val="00F2391C"/>
    <w:rsid w:val="00F245E5"/>
    <w:rsid w:val="00F35B68"/>
    <w:rsid w:val="00F3646E"/>
    <w:rsid w:val="00F444EF"/>
    <w:rsid w:val="00F50BF0"/>
    <w:rsid w:val="00F543E7"/>
    <w:rsid w:val="00F55E36"/>
    <w:rsid w:val="00F567BA"/>
    <w:rsid w:val="00F57C0B"/>
    <w:rsid w:val="00F60544"/>
    <w:rsid w:val="00F72415"/>
    <w:rsid w:val="00F75D15"/>
    <w:rsid w:val="00F86098"/>
    <w:rsid w:val="00F87190"/>
    <w:rsid w:val="00F879DB"/>
    <w:rsid w:val="00F922BE"/>
    <w:rsid w:val="00FA1591"/>
    <w:rsid w:val="00FA2B2F"/>
    <w:rsid w:val="00FA5EBE"/>
    <w:rsid w:val="00FA7E13"/>
    <w:rsid w:val="00FB5C71"/>
    <w:rsid w:val="00FB5E89"/>
    <w:rsid w:val="00FB7F0A"/>
    <w:rsid w:val="00FD16AC"/>
    <w:rsid w:val="00FD5D92"/>
    <w:rsid w:val="00FE3514"/>
    <w:rsid w:val="00FE6691"/>
    <w:rsid w:val="00FF0422"/>
    <w:rsid w:val="00FF04E1"/>
    <w:rsid w:val="00FF43FB"/>
    <w:rsid w:val="00FF739B"/>
    <w:rsid w:val="0F0767AD"/>
    <w:rsid w:val="17F65C59"/>
    <w:rsid w:val="2DF91651"/>
    <w:rsid w:val="3C082C9B"/>
    <w:rsid w:val="3C9E1C4F"/>
    <w:rsid w:val="468F53B9"/>
    <w:rsid w:val="46CA74B7"/>
    <w:rsid w:val="486024AF"/>
    <w:rsid w:val="4C4F0BA0"/>
    <w:rsid w:val="5A2E3A23"/>
    <w:rsid w:val="5B710062"/>
    <w:rsid w:val="5F3D2B4D"/>
    <w:rsid w:val="6F5812B3"/>
    <w:rsid w:val="77036B82"/>
    <w:rsid w:val="7FEA6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paragraph" w:styleId="2">
    <w:name w:val="heading 1"/>
    <w:basedOn w:val="1"/>
    <w:next w:val="1"/>
    <w:autoRedefine/>
    <w:qFormat/>
    <w:uiPriority w:val="0"/>
    <w:pPr>
      <w:keepNext/>
      <w:jc w:val="center"/>
      <w:outlineLvl w:val="0"/>
    </w:pPr>
    <w:rPr>
      <w:sz w:val="44"/>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autoRedefine/>
    <w:semiHidden/>
    <w:qFormat/>
    <w:uiPriority w:val="0"/>
    <w:pPr>
      <w:jc w:val="center"/>
    </w:pPr>
    <w:rPr>
      <w:sz w:val="28"/>
    </w:rPr>
  </w:style>
  <w:style w:type="paragraph" w:styleId="4">
    <w:name w:val="Date"/>
    <w:basedOn w:val="1"/>
    <w:next w:val="1"/>
    <w:autoRedefine/>
    <w:qFormat/>
    <w:uiPriority w:val="0"/>
    <w:pPr>
      <w:ind w:left="100" w:leftChars="2500"/>
    </w:pPr>
  </w:style>
  <w:style w:type="paragraph" w:styleId="5">
    <w:name w:val="footer"/>
    <w:basedOn w:val="1"/>
    <w:link w:val="12"/>
    <w:autoRedefine/>
    <w:qFormat/>
    <w:uiPriority w:val="99"/>
    <w:pPr>
      <w:tabs>
        <w:tab w:val="center" w:pos="4153"/>
        <w:tab w:val="right" w:pos="8306"/>
      </w:tabs>
      <w:snapToGrid w:val="0"/>
      <w:jc w:val="left"/>
    </w:pPr>
    <w:rPr>
      <w:sz w:val="18"/>
      <w:szCs w:val="18"/>
    </w:rPr>
  </w:style>
  <w:style w:type="paragraph" w:styleId="6">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page number"/>
    <w:basedOn w:val="8"/>
    <w:autoRedefine/>
    <w:semiHidden/>
    <w:qFormat/>
    <w:uiPriority w:val="0"/>
  </w:style>
  <w:style w:type="character" w:styleId="10">
    <w:name w:val="Hyperlink"/>
    <w:autoRedefine/>
    <w:unhideWhenUsed/>
    <w:qFormat/>
    <w:uiPriority w:val="99"/>
    <w:rPr>
      <w:color w:val="0000FF"/>
      <w:u w:val="single"/>
    </w:rPr>
  </w:style>
  <w:style w:type="character" w:customStyle="1" w:styleId="11">
    <w:name w:val="页眉 字符"/>
    <w:link w:val="6"/>
    <w:autoRedefine/>
    <w:qFormat/>
    <w:uiPriority w:val="99"/>
    <w:rPr>
      <w:kern w:val="2"/>
      <w:sz w:val="18"/>
      <w:szCs w:val="18"/>
    </w:rPr>
  </w:style>
  <w:style w:type="character" w:customStyle="1" w:styleId="12">
    <w:name w:val="页脚 字符1"/>
    <w:link w:val="5"/>
    <w:autoRedefine/>
    <w:qFormat/>
    <w:uiPriority w:val="99"/>
    <w:rPr>
      <w:kern w:val="2"/>
      <w:sz w:val="18"/>
      <w:szCs w:val="18"/>
    </w:rPr>
  </w:style>
  <w:style w:type="character" w:customStyle="1" w:styleId="13">
    <w:name w:val="页脚 字符"/>
    <w:autoRedefine/>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E01D7-51A4-4747-946C-95754CE68DE0}">
  <ds:schemaRefs/>
</ds:datastoreItem>
</file>

<file path=docProps/app.xml><?xml version="1.0" encoding="utf-8"?>
<Properties xmlns="http://schemas.openxmlformats.org/officeDocument/2006/extended-properties" xmlns:vt="http://schemas.openxmlformats.org/officeDocument/2006/docPropsVTypes">
  <Template>Normal.dotm</Template>
  <Company>武汉科技大学</Company>
  <Pages>6</Pages>
  <Words>2953</Words>
  <Characters>2958</Characters>
  <Lines>11</Lines>
  <Paragraphs>3</Paragraphs>
  <TotalTime>0</TotalTime>
  <ScaleCrop>false</ScaleCrop>
  <LinksUpToDate>false</LinksUpToDate>
  <CharactersWithSpaces>2967</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2023-02-16T04:48:00Z</dcterms:created>
  <dc:creator>吴克明</dc:creator>
  <cp:lastModifiedBy>海贝妈咪</cp:lastModifiedBy>
  <cp:lastPrinted>2015-03-16T03:01:00Z</cp:lastPrinted>
  <dcterms:modified xsi:type="dcterms:W3CDTF">2026-03-27T03:50:39Z</dcterms:modified>
  <dc:title>武汉科技大学</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D1FDEF37C27E4CD7953C3D3931E62F1A_12</vt:lpwstr>
  </property>
  <property fmtid="{D5CDD505-2E9C-101B-9397-08002B2CF9AE}" pid="4" name="KSOTemplateDocerSaveRecord">
    <vt:lpwstr>eyJoZGlkIjoiODE1YWZmN2Y3ODJjMzdhZTE0ZGRmOTgzNGU3ZWQzZmIiLCJ1c2VySWQiOiIzMzM0ODQxODUifQ==</vt:lpwstr>
  </property>
</Properties>
</file>